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28"/>
          <w:szCs w:val="28"/>
        </w:rPr>
      </w:pPr>
      <w:r>
        <w:rPr>
          <w:rFonts w:hint="eastAsia" w:ascii="仿宋" w:hAnsi="仿宋" w:eastAsia="仿宋"/>
          <w:b/>
          <w:bCs/>
          <w:spacing w:val="-8"/>
          <w:sz w:val="30"/>
          <w:szCs w:val="30"/>
        </w:rPr>
        <w:t>常州大学</w:t>
      </w:r>
      <w:r>
        <w:rPr>
          <w:rFonts w:hint="eastAsia" w:ascii="仿宋" w:hAnsi="仿宋" w:eastAsia="仿宋"/>
          <w:b/>
          <w:bCs/>
          <w:spacing w:val="-8"/>
          <w:sz w:val="30"/>
          <w:szCs w:val="30"/>
          <w:lang w:val="en-US" w:eastAsia="zh-CN"/>
        </w:rPr>
        <w:t>环境与安全工程学院研究生综合评定量化标准及评审细则（试行）</w:t>
      </w:r>
    </w:p>
    <w:tbl>
      <w:tblPr>
        <w:tblStyle w:val="7"/>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627"/>
        <w:gridCol w:w="1064"/>
        <w:gridCol w:w="72"/>
        <w:gridCol w:w="1143"/>
        <w:gridCol w:w="1133"/>
        <w:gridCol w:w="7142"/>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40" w:type="dxa"/>
            <w:vAlign w:val="center"/>
          </w:tcPr>
          <w:p>
            <w:pPr>
              <w:spacing w:line="360" w:lineRule="exact"/>
              <w:jc w:val="center"/>
              <w:rPr>
                <w:rFonts w:ascii="仿宋_GB2312" w:hAnsi="仿宋" w:eastAsia="仿宋_GB2312"/>
                <w:color w:val="auto"/>
                <w:sz w:val="24"/>
              </w:rPr>
            </w:pPr>
            <w:r>
              <w:rPr>
                <w:rFonts w:hint="eastAsia" w:ascii="仿宋_GB2312" w:hAnsi="仿宋" w:eastAsia="仿宋_GB2312"/>
                <w:color w:val="auto"/>
                <w:sz w:val="24"/>
              </w:rPr>
              <w:t>类  别</w:t>
            </w:r>
          </w:p>
        </w:tc>
        <w:tc>
          <w:tcPr>
            <w:tcW w:w="3906" w:type="dxa"/>
            <w:gridSpan w:val="4"/>
            <w:vAlign w:val="center"/>
          </w:tcPr>
          <w:p>
            <w:pPr>
              <w:spacing w:line="360" w:lineRule="exact"/>
              <w:jc w:val="center"/>
              <w:rPr>
                <w:rFonts w:ascii="仿宋_GB2312" w:hAnsi="仿宋" w:eastAsia="仿宋_GB2312"/>
                <w:color w:val="auto"/>
                <w:sz w:val="24"/>
              </w:rPr>
            </w:pPr>
            <w:r>
              <w:rPr>
                <w:rFonts w:hint="eastAsia" w:ascii="仿宋_GB2312" w:hAnsi="仿宋" w:eastAsia="仿宋_GB2312"/>
                <w:color w:val="auto"/>
                <w:sz w:val="24"/>
              </w:rPr>
              <w:t>项目代码及内容</w:t>
            </w:r>
          </w:p>
        </w:tc>
        <w:tc>
          <w:tcPr>
            <w:tcW w:w="1133" w:type="dxa"/>
            <w:vAlign w:val="center"/>
          </w:tcPr>
          <w:p>
            <w:pPr>
              <w:spacing w:line="360" w:lineRule="exact"/>
              <w:jc w:val="center"/>
              <w:rPr>
                <w:rFonts w:ascii="仿宋_GB2312" w:hAnsi="仿宋" w:eastAsia="仿宋_GB2312"/>
                <w:color w:val="auto"/>
                <w:sz w:val="24"/>
              </w:rPr>
            </w:pPr>
            <w:r>
              <w:rPr>
                <w:rFonts w:hint="eastAsia" w:ascii="仿宋_GB2312" w:hAnsi="仿宋" w:eastAsia="仿宋_GB2312"/>
                <w:color w:val="auto"/>
                <w:sz w:val="24"/>
              </w:rPr>
              <w:t>分值或</w:t>
            </w:r>
          </w:p>
          <w:p>
            <w:pPr>
              <w:spacing w:line="360" w:lineRule="exact"/>
              <w:jc w:val="center"/>
              <w:rPr>
                <w:rFonts w:ascii="仿宋_GB2312" w:hAnsi="仿宋" w:eastAsia="仿宋_GB2312"/>
                <w:color w:val="auto"/>
                <w:sz w:val="24"/>
              </w:rPr>
            </w:pPr>
            <w:r>
              <w:rPr>
                <w:rFonts w:hint="eastAsia" w:ascii="仿宋_GB2312" w:hAnsi="仿宋" w:eastAsia="仿宋_GB2312"/>
                <w:color w:val="auto"/>
                <w:sz w:val="24"/>
              </w:rPr>
              <w:t>结果</w:t>
            </w:r>
          </w:p>
        </w:tc>
        <w:tc>
          <w:tcPr>
            <w:tcW w:w="8383" w:type="dxa"/>
            <w:gridSpan w:val="2"/>
            <w:vAlign w:val="center"/>
          </w:tcPr>
          <w:p>
            <w:pPr>
              <w:spacing w:line="360" w:lineRule="exact"/>
              <w:jc w:val="center"/>
              <w:rPr>
                <w:rFonts w:ascii="仿宋_GB2312" w:hAnsi="仿宋" w:eastAsia="仿宋_GB2312"/>
                <w:color w:val="auto"/>
                <w:sz w:val="24"/>
              </w:rPr>
            </w:pPr>
            <w:r>
              <w:rPr>
                <w:rFonts w:hint="eastAsia" w:ascii="仿宋_GB2312" w:hAnsi="仿宋" w:eastAsia="仿宋_GB2312"/>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A思想品德</w:t>
            </w: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A1荣誉表彰</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A11重大荣誉及事迹</w:t>
            </w:r>
          </w:p>
        </w:tc>
        <w:tc>
          <w:tcPr>
            <w:tcW w:w="1133"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100分</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A11经认定在新时代社会主义思想道德建设荣获重大荣誉者，或在关键时刻、重大事件中经受住考验、表现突出、作出重大贡献者，由学院推荐，校评审领导小组综合评定。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A12荣誉表彰</w:t>
            </w:r>
          </w:p>
        </w:tc>
        <w:tc>
          <w:tcPr>
            <w:tcW w:w="1133"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3-50分</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12荣获国家级（竞争性50分，指标性30分）、省级(竞争性20分，指标性10分）、市厅级（5分）、校级（3分）等各级各类个人荣誉表彰，不同项可累加，同项以最高级计，校级荣誉表彰不超过3项；如同一荣誉奖项还设有“提名奖”“入围奖”，则分别乘以0.5、0.3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A2日常表现</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A21参加校、院组织的各类活动</w:t>
            </w:r>
          </w:p>
        </w:tc>
        <w:tc>
          <w:tcPr>
            <w:tcW w:w="1133"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5分</w:t>
            </w:r>
          </w:p>
        </w:tc>
        <w:tc>
          <w:tcPr>
            <w:tcW w:w="8383" w:type="dxa"/>
            <w:gridSpan w:val="2"/>
            <w:vAlign w:val="center"/>
          </w:tcPr>
          <w:p>
            <w:pPr>
              <w:spacing w:line="320" w:lineRule="exact"/>
              <w:rPr>
                <w:rFonts w:hint="eastAsia" w:ascii="仿宋_GB2312" w:hAnsi="仿宋" w:eastAsia="仿宋_GB2312"/>
                <w:color w:val="auto"/>
                <w:szCs w:val="21"/>
                <w:lang w:eastAsia="zh-CN"/>
              </w:rPr>
            </w:pPr>
            <w:r>
              <w:rPr>
                <w:rFonts w:hint="eastAsia" w:ascii="仿宋_GB2312" w:hAnsi="仿宋" w:eastAsia="仿宋_GB2312"/>
                <w:color w:val="auto"/>
                <w:szCs w:val="21"/>
              </w:rPr>
              <w:t>A21提供获奖证书，由学院认定，总分不超过5分。</w:t>
            </w:r>
          </w:p>
          <w:p>
            <w:pPr>
              <w:spacing w:line="320" w:lineRule="exact"/>
              <w:rPr>
                <w:rFonts w:ascii="仿宋_GB2312" w:hAnsi="仿宋" w:eastAsia="仿宋_GB2312"/>
                <w:color w:val="auto"/>
                <w:szCs w:val="21"/>
              </w:rPr>
            </w:pPr>
            <w:r>
              <w:rPr>
                <w:rFonts w:hint="eastAsia" w:ascii="仿宋_GB2312" w:hAnsi="仿宋" w:eastAsia="仿宋_GB2312"/>
                <w:color w:val="auto"/>
                <w:szCs w:val="21"/>
              </w:rPr>
              <w:t>参加校级专业类活动2分/次，院级1分/次；参加校级非专业类活动1分/次，院级0.5分/次。总分不超过5分（如无证书，活动组织单位盖章证明）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A22实验室安全和公寓管理</w:t>
            </w:r>
          </w:p>
        </w:tc>
        <w:tc>
          <w:tcPr>
            <w:tcW w:w="1133" w:type="dxa"/>
            <w:vAlign w:val="center"/>
          </w:tcPr>
          <w:p>
            <w:pPr>
              <w:spacing w:line="320" w:lineRule="exact"/>
              <w:rPr>
                <w:rFonts w:hint="eastAsia" w:ascii="仿宋_GB2312" w:hAnsi="仿宋" w:eastAsia="仿宋_GB2312"/>
                <w:color w:val="auto"/>
                <w:szCs w:val="21"/>
                <w:lang w:eastAsia="zh-CN"/>
              </w:rPr>
            </w:pPr>
            <w:r>
              <w:rPr>
                <w:rFonts w:hint="eastAsia" w:eastAsia="仿宋_GB2312"/>
                <w:color w:val="auto"/>
                <w:sz w:val="21"/>
                <w:szCs w:val="21"/>
                <w:lang w:val="en-US" w:eastAsia="zh-CN"/>
              </w:rPr>
              <w:t>9</w:t>
            </w:r>
            <w:r>
              <w:rPr>
                <w:rFonts w:hint="eastAsia" w:eastAsia="仿宋_GB2312"/>
                <w:color w:val="auto"/>
                <w:sz w:val="21"/>
                <w:szCs w:val="21"/>
              </w:rPr>
              <w:t>分</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A22遵守实验室、工作室和校园等场所管理规定的</w:t>
            </w:r>
            <w:r>
              <w:rPr>
                <w:rFonts w:hint="eastAsia" w:eastAsia="仿宋_GB2312"/>
                <w:color w:val="auto"/>
                <w:sz w:val="21"/>
                <w:szCs w:val="21"/>
                <w:lang w:val="en-US" w:eastAsia="zh-CN"/>
              </w:rPr>
              <w:t>6分</w:t>
            </w:r>
            <w:r>
              <w:rPr>
                <w:rFonts w:hint="eastAsia" w:ascii="仿宋_GB2312" w:hAnsi="仿宋" w:eastAsia="仿宋_GB2312"/>
                <w:color w:val="auto"/>
                <w:szCs w:val="21"/>
              </w:rPr>
              <w:t>，有违规行为的，扣1分/次；获评校级“洁、齐、美”宿舍特等和一、二、三等奖分别加3、2、1、0.5分；违规使用电器或饲养宠物的，该项记0分；由学院和后勤管理处认定。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A23公共安全</w:t>
            </w:r>
          </w:p>
        </w:tc>
        <w:tc>
          <w:tcPr>
            <w:tcW w:w="1133"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2分</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A23在自然灾害、事故灾难、公共卫生等突发事件中，做到不造谣、不信谣、不传谣，自觉服从学校统一管理2分，否则记0分，由学院认定。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A24近1年内受到警告及以上纪律处分</w:t>
            </w:r>
          </w:p>
        </w:tc>
        <w:tc>
          <w:tcPr>
            <w:tcW w:w="1133"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原则上不得参评</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A24</w:t>
            </w:r>
            <w:r>
              <w:rPr>
                <w:rFonts w:hint="eastAsia" w:ascii="仿宋_GB2312" w:hAnsi="仿宋" w:eastAsia="仿宋_GB2312"/>
                <w:color w:val="auto"/>
                <w:szCs w:val="21"/>
                <w:lang w:val="en-US" w:eastAsia="zh-CN"/>
              </w:rPr>
              <w:t>处分</w:t>
            </w:r>
            <w:r>
              <w:rPr>
                <w:rFonts w:hint="eastAsia" w:eastAsia="仿宋_GB2312"/>
                <w:color w:val="auto"/>
                <w:sz w:val="21"/>
                <w:szCs w:val="21"/>
              </w:rPr>
              <w:t>以发文时间为准，</w:t>
            </w:r>
            <w:r>
              <w:rPr>
                <w:rFonts w:hint="eastAsia" w:eastAsia="仿宋_GB2312"/>
                <w:color w:val="auto"/>
                <w:sz w:val="21"/>
                <w:szCs w:val="21"/>
                <w:lang w:val="en-US" w:eastAsia="zh-CN"/>
              </w:rPr>
              <w:t>自上一年综合评定成果截止时间至评定当年成果截止时间之间。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A25政治立场或学术道德存在严重问题</w:t>
            </w:r>
          </w:p>
        </w:tc>
        <w:tc>
          <w:tcPr>
            <w:tcW w:w="1133"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取消参评资格</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A25由学院认定，研工部审核。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136" w:type="dxa"/>
            <w:gridSpan w:val="2"/>
            <w:vMerge w:val="restart"/>
            <w:vAlign w:val="center"/>
          </w:tcPr>
          <w:p>
            <w:pPr>
              <w:spacing w:line="320" w:lineRule="exac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A26</w:t>
            </w:r>
          </w:p>
          <w:p>
            <w:pPr>
              <w:spacing w:line="320" w:lineRule="exact"/>
              <w:rPr>
                <w:rFonts w:hint="default" w:ascii="仿宋_GB2312" w:hAnsi="仿宋" w:eastAsia="仿宋_GB2312"/>
                <w:color w:val="auto"/>
                <w:szCs w:val="21"/>
                <w:lang w:val="en-US" w:eastAsia="zh-CN"/>
              </w:rPr>
            </w:pPr>
            <w:r>
              <w:rPr>
                <w:rFonts w:hint="eastAsia" w:ascii="仿宋_GB2312" w:hAnsi="仿宋" w:eastAsia="仿宋_GB2312"/>
                <w:color w:val="auto"/>
                <w:szCs w:val="21"/>
                <w:lang w:val="en-US" w:eastAsia="zh-CN"/>
              </w:rPr>
              <w:t>德育素质</w:t>
            </w:r>
          </w:p>
        </w:tc>
        <w:tc>
          <w:tcPr>
            <w:tcW w:w="1143" w:type="dxa"/>
            <w:vAlign w:val="center"/>
          </w:tcPr>
          <w:p>
            <w:pPr>
              <w:widowControl/>
              <w:spacing w:line="360" w:lineRule="exact"/>
              <w:rPr>
                <w:rFonts w:hint="eastAsia" w:ascii="Times New Roman" w:hAnsi="Times New Roman" w:eastAsia="仿宋_GB2312" w:cs="Times New Roman"/>
                <w:color w:val="auto"/>
                <w:kern w:val="2"/>
                <w:sz w:val="21"/>
                <w:szCs w:val="21"/>
                <w:lang w:val="en-US" w:eastAsia="zh-CN" w:bidi="ar-SA"/>
              </w:rPr>
            </w:pPr>
            <w:r>
              <w:rPr>
                <w:rFonts w:hint="eastAsia" w:eastAsia="仿宋_GB2312"/>
                <w:color w:val="auto"/>
                <w:sz w:val="21"/>
                <w:szCs w:val="21"/>
              </w:rPr>
              <w:t>考勤</w:t>
            </w:r>
            <w:r>
              <w:rPr>
                <w:rFonts w:hint="eastAsia" w:eastAsia="仿宋_GB2312"/>
                <w:color w:val="auto"/>
                <w:sz w:val="21"/>
                <w:szCs w:val="21"/>
                <w:lang w:val="en-US" w:eastAsia="zh-CN"/>
              </w:rPr>
              <w:t>管理</w:t>
            </w:r>
          </w:p>
        </w:tc>
        <w:tc>
          <w:tcPr>
            <w:tcW w:w="1133" w:type="dxa"/>
            <w:vAlign w:val="center"/>
          </w:tcPr>
          <w:p>
            <w:pPr>
              <w:widowControl/>
              <w:spacing w:line="360" w:lineRule="exact"/>
              <w:jc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olor w:val="auto"/>
                <w:sz w:val="21"/>
                <w:szCs w:val="21"/>
                <w:lang w:val="en-US" w:eastAsia="zh-CN"/>
              </w:rPr>
              <w:t>5分</w:t>
            </w:r>
          </w:p>
        </w:tc>
        <w:tc>
          <w:tcPr>
            <w:tcW w:w="8383" w:type="dxa"/>
            <w:gridSpan w:val="2"/>
            <w:vAlign w:val="center"/>
          </w:tcPr>
          <w:p>
            <w:pPr>
              <w:widowControl/>
              <w:spacing w:line="360" w:lineRule="exact"/>
              <w:rPr>
                <w:rFonts w:hint="eastAsia" w:ascii="Times New Roman" w:hAnsi="Times New Roman" w:eastAsia="仿宋_GB2312" w:cs="Times New Roman"/>
                <w:color w:val="auto"/>
                <w:kern w:val="2"/>
                <w:sz w:val="21"/>
                <w:szCs w:val="21"/>
                <w:lang w:val="en-US" w:eastAsia="zh-CN" w:bidi="ar-SA"/>
              </w:rPr>
            </w:pPr>
            <w:r>
              <w:rPr>
                <w:rFonts w:hint="eastAsia" w:eastAsia="仿宋_GB2312"/>
                <w:color w:val="auto"/>
                <w:sz w:val="21"/>
                <w:szCs w:val="21"/>
              </w:rPr>
              <w:t>根据日常考勤结果，</w:t>
            </w:r>
            <w:r>
              <w:rPr>
                <w:rFonts w:hint="eastAsia" w:eastAsia="仿宋_GB2312"/>
                <w:color w:val="auto"/>
                <w:sz w:val="21"/>
                <w:szCs w:val="21"/>
                <w:lang w:val="en-US" w:eastAsia="zh-CN"/>
              </w:rPr>
              <w:t>未经请假每缺勤1次扣1分，扣完为止</w:t>
            </w:r>
            <w:r>
              <w:rPr>
                <w:rFonts w:hint="eastAsia" w:eastAsia="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136" w:type="dxa"/>
            <w:gridSpan w:val="2"/>
            <w:vMerge w:val="continue"/>
            <w:vAlign w:val="center"/>
          </w:tcPr>
          <w:p>
            <w:pPr>
              <w:spacing w:line="320" w:lineRule="exact"/>
              <w:rPr>
                <w:rFonts w:hint="eastAsia" w:ascii="仿宋_GB2312" w:hAnsi="仿宋" w:eastAsia="仿宋_GB2312"/>
                <w:color w:val="auto"/>
                <w:szCs w:val="21"/>
                <w:lang w:val="en-US" w:eastAsia="zh-CN"/>
              </w:rPr>
            </w:pPr>
          </w:p>
        </w:tc>
        <w:tc>
          <w:tcPr>
            <w:tcW w:w="1143" w:type="dxa"/>
            <w:vAlign w:val="center"/>
          </w:tcPr>
          <w:p>
            <w:pPr>
              <w:widowControl/>
              <w:spacing w:line="360" w:lineRule="exact"/>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日常管理</w:t>
            </w:r>
          </w:p>
        </w:tc>
        <w:tc>
          <w:tcPr>
            <w:tcW w:w="1133" w:type="dxa"/>
            <w:vAlign w:val="center"/>
          </w:tcPr>
          <w:p>
            <w:pPr>
              <w:widowControl/>
              <w:spacing w:line="360" w:lineRule="exact"/>
              <w:jc w:val="center"/>
              <w:rPr>
                <w:rFonts w:hint="eastAsia" w:ascii="Times New Roman" w:hAnsi="Times New Roman" w:eastAsia="仿宋_GB2312" w:cs="Times New Roman"/>
                <w:color w:val="auto"/>
                <w:kern w:val="2"/>
                <w:sz w:val="21"/>
                <w:szCs w:val="21"/>
                <w:lang w:val="en-US" w:eastAsia="zh-CN" w:bidi="ar-SA"/>
              </w:rPr>
            </w:pPr>
            <w:r>
              <w:rPr>
                <w:rFonts w:hint="eastAsia" w:eastAsia="仿宋_GB2312"/>
                <w:color w:val="auto"/>
                <w:sz w:val="21"/>
                <w:szCs w:val="21"/>
                <w:lang w:val="en-US" w:eastAsia="zh-CN"/>
              </w:rPr>
              <w:t>10</w:t>
            </w:r>
            <w:r>
              <w:rPr>
                <w:rFonts w:hint="eastAsia" w:eastAsia="仿宋_GB2312"/>
                <w:color w:val="auto"/>
                <w:sz w:val="21"/>
                <w:szCs w:val="21"/>
              </w:rPr>
              <w:t>分</w:t>
            </w:r>
          </w:p>
        </w:tc>
        <w:tc>
          <w:tcPr>
            <w:tcW w:w="8383" w:type="dxa"/>
            <w:gridSpan w:val="2"/>
            <w:vAlign w:val="center"/>
          </w:tcPr>
          <w:p>
            <w:pPr>
              <w:widowControl/>
              <w:spacing w:line="360" w:lineRule="exact"/>
              <w:rPr>
                <w:rFonts w:hint="eastAsia" w:ascii="Times New Roman" w:hAnsi="Times New Roman" w:eastAsia="仿宋_GB2312" w:cs="Times New Roman"/>
                <w:color w:val="auto"/>
                <w:kern w:val="2"/>
                <w:sz w:val="21"/>
                <w:szCs w:val="21"/>
                <w:lang w:val="en-US" w:eastAsia="zh-CN" w:bidi="ar-SA"/>
              </w:rPr>
            </w:pPr>
            <w:r>
              <w:rPr>
                <w:rFonts w:hint="eastAsia" w:eastAsia="仿宋_GB2312"/>
                <w:color w:val="auto"/>
                <w:sz w:val="21"/>
                <w:szCs w:val="21"/>
                <w:lang w:val="en-US" w:eastAsia="zh-CN"/>
              </w:rPr>
              <w:t>不积极或未</w:t>
            </w:r>
            <w:r>
              <w:rPr>
                <w:rFonts w:hint="eastAsia" w:eastAsia="仿宋_GB2312"/>
                <w:color w:val="auto"/>
                <w:sz w:val="21"/>
                <w:szCs w:val="21"/>
              </w:rPr>
              <w:t>配合学工、教务日常教学</w:t>
            </w:r>
            <w:r>
              <w:rPr>
                <w:rFonts w:hint="eastAsia" w:eastAsia="仿宋_GB2312"/>
                <w:color w:val="auto"/>
                <w:sz w:val="21"/>
                <w:szCs w:val="21"/>
                <w:lang w:val="en-US" w:eastAsia="zh-CN"/>
              </w:rPr>
              <w:t>与管理工作的，根据情况每项扣1-2分，扣完为止</w:t>
            </w:r>
            <w:r>
              <w:rPr>
                <w:rFonts w:hint="eastAsia" w:eastAsia="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136" w:type="dxa"/>
            <w:gridSpan w:val="2"/>
            <w:vMerge w:val="continue"/>
            <w:vAlign w:val="center"/>
          </w:tcPr>
          <w:p>
            <w:pPr>
              <w:spacing w:line="320" w:lineRule="exact"/>
              <w:rPr>
                <w:rFonts w:hint="eastAsia" w:ascii="仿宋_GB2312" w:hAnsi="仿宋" w:eastAsia="仿宋_GB2312"/>
                <w:color w:val="auto"/>
                <w:szCs w:val="21"/>
                <w:lang w:val="en-US" w:eastAsia="zh-CN"/>
              </w:rPr>
            </w:pPr>
          </w:p>
        </w:tc>
        <w:tc>
          <w:tcPr>
            <w:tcW w:w="1143" w:type="dxa"/>
            <w:vAlign w:val="center"/>
          </w:tcPr>
          <w:p>
            <w:pPr>
              <w:widowControl/>
              <w:spacing w:line="360" w:lineRule="exact"/>
              <w:rPr>
                <w:rFonts w:hint="default" w:ascii="Times New Roman" w:hAnsi="Times New Roman" w:eastAsia="仿宋_GB2312" w:cs="Times New Roman"/>
                <w:color w:val="auto"/>
                <w:kern w:val="2"/>
                <w:sz w:val="21"/>
                <w:szCs w:val="21"/>
                <w:lang w:val="en-US" w:eastAsia="zh-CN" w:bidi="ar-SA"/>
              </w:rPr>
            </w:pPr>
            <w:r>
              <w:rPr>
                <w:rFonts w:hint="eastAsia" w:eastAsia="仿宋_GB2312"/>
                <w:color w:val="auto"/>
                <w:sz w:val="21"/>
                <w:szCs w:val="21"/>
                <w:lang w:val="en-US" w:eastAsia="zh-CN"/>
              </w:rPr>
              <w:t>学业表现</w:t>
            </w:r>
          </w:p>
        </w:tc>
        <w:tc>
          <w:tcPr>
            <w:tcW w:w="1133" w:type="dxa"/>
            <w:vAlign w:val="center"/>
          </w:tcPr>
          <w:p>
            <w:pPr>
              <w:widowControl/>
              <w:spacing w:line="360" w:lineRule="exact"/>
              <w:jc w:val="center"/>
              <w:rPr>
                <w:rFonts w:hint="eastAsia" w:ascii="Times New Roman" w:hAnsi="Times New Roman" w:eastAsia="仿宋_GB2312" w:cs="Times New Roman"/>
                <w:color w:val="auto"/>
                <w:kern w:val="2"/>
                <w:sz w:val="21"/>
                <w:szCs w:val="21"/>
                <w:lang w:val="en-US" w:eastAsia="zh-CN" w:bidi="ar-SA"/>
              </w:rPr>
            </w:pPr>
            <w:r>
              <w:rPr>
                <w:rFonts w:hint="eastAsia" w:eastAsia="仿宋_GB2312"/>
                <w:color w:val="auto"/>
                <w:sz w:val="21"/>
                <w:szCs w:val="21"/>
                <w:lang w:val="en-US" w:eastAsia="zh-CN"/>
              </w:rPr>
              <w:t>10</w:t>
            </w:r>
            <w:r>
              <w:rPr>
                <w:rFonts w:hint="eastAsia" w:eastAsia="仿宋_GB2312"/>
                <w:color w:val="auto"/>
                <w:sz w:val="21"/>
                <w:szCs w:val="21"/>
              </w:rPr>
              <w:t>分</w:t>
            </w:r>
          </w:p>
        </w:tc>
        <w:tc>
          <w:tcPr>
            <w:tcW w:w="8383" w:type="dxa"/>
            <w:gridSpan w:val="2"/>
            <w:vAlign w:val="center"/>
          </w:tcPr>
          <w:p>
            <w:pPr>
              <w:widowControl/>
              <w:spacing w:line="360" w:lineRule="exact"/>
              <w:rPr>
                <w:rFonts w:hint="eastAsia" w:ascii="Times New Roman" w:hAnsi="Times New Roman" w:eastAsia="仿宋_GB2312" w:cs="Times New Roman"/>
                <w:color w:val="auto"/>
                <w:kern w:val="2"/>
                <w:sz w:val="21"/>
                <w:szCs w:val="21"/>
                <w:lang w:val="en-US" w:eastAsia="zh-CN" w:bidi="ar-SA"/>
              </w:rPr>
            </w:pPr>
            <w:r>
              <w:rPr>
                <w:rFonts w:hint="eastAsia" w:eastAsia="仿宋_GB2312"/>
                <w:color w:val="auto"/>
                <w:sz w:val="21"/>
                <w:szCs w:val="21"/>
                <w:lang w:val="en-US" w:eastAsia="zh-CN"/>
              </w:rPr>
              <w:t>未遵守</w:t>
            </w:r>
            <w:r>
              <w:rPr>
                <w:rFonts w:hint="eastAsia" w:eastAsia="仿宋_GB2312"/>
                <w:color w:val="auto"/>
                <w:sz w:val="21"/>
                <w:szCs w:val="21"/>
              </w:rPr>
              <w:t>课题组管理规定</w:t>
            </w:r>
            <w:r>
              <w:rPr>
                <w:rFonts w:hint="eastAsia" w:eastAsia="仿宋_GB2312"/>
                <w:color w:val="auto"/>
                <w:sz w:val="21"/>
                <w:szCs w:val="21"/>
                <w:lang w:eastAsia="zh-CN"/>
              </w:rPr>
              <w:t>、</w:t>
            </w:r>
            <w:r>
              <w:rPr>
                <w:rFonts w:hint="eastAsia" w:eastAsia="仿宋_GB2312"/>
                <w:color w:val="auto"/>
                <w:sz w:val="21"/>
                <w:szCs w:val="21"/>
                <w:lang w:val="en-US" w:eastAsia="zh-CN"/>
              </w:rPr>
              <w:t>不积极或未完成课题组</w:t>
            </w:r>
            <w:r>
              <w:rPr>
                <w:rFonts w:hint="eastAsia" w:eastAsia="仿宋_GB2312"/>
                <w:color w:val="auto"/>
                <w:sz w:val="21"/>
                <w:szCs w:val="21"/>
              </w:rPr>
              <w:t>科研任务</w:t>
            </w:r>
            <w:r>
              <w:rPr>
                <w:rFonts w:hint="eastAsia" w:eastAsia="仿宋_GB2312"/>
                <w:color w:val="auto"/>
                <w:sz w:val="21"/>
                <w:szCs w:val="21"/>
                <w:lang w:val="en-US" w:eastAsia="zh-CN"/>
              </w:rPr>
              <w:t>的，扣1-2分/项</w:t>
            </w:r>
            <w:r>
              <w:rPr>
                <w:rFonts w:hint="eastAsia" w:eastAsia="仿宋_GB2312"/>
                <w:color w:val="auto"/>
                <w:sz w:val="21"/>
                <w:szCs w:val="21"/>
              </w:rPr>
              <w:t>，</w:t>
            </w:r>
            <w:r>
              <w:rPr>
                <w:rFonts w:hint="eastAsia" w:eastAsia="仿宋_GB2312"/>
                <w:color w:val="auto"/>
                <w:sz w:val="21"/>
                <w:szCs w:val="21"/>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A3志愿实践</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A31志愿服务</w:t>
            </w:r>
          </w:p>
        </w:tc>
        <w:tc>
          <w:tcPr>
            <w:tcW w:w="1133"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1-20分</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A31获得国家级、省级、市厅级和校级等表彰的，分别得20、5、2、1分；个人表彰系数为1，团队表彰系数由负责人统筹分配到各成员且总系数不超过1，并提供证书，由学院认定。</w:t>
            </w:r>
            <w:r>
              <w:rPr>
                <w:rFonts w:hint="eastAsia" w:eastAsia="仿宋_GB2312"/>
                <w:color w:val="auto"/>
                <w:sz w:val="21"/>
                <w:szCs w:val="21"/>
                <w:lang w:val="en-US" w:eastAsia="zh-CN"/>
              </w:rPr>
              <w:t>参加志愿服务可按次按时长进行累计，有效志愿服务凭相关证明可得0.05分/小时，上限为2分。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A32社会实践</w:t>
            </w:r>
          </w:p>
        </w:tc>
        <w:tc>
          <w:tcPr>
            <w:tcW w:w="1133"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1-20分</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A32获得国家级、省级、市厅级和校级等表彰的，分别得20、5、2、1分；个人表彰系数为1，团队表彰系数由负责人统筹分配到各成员且总系数不超过1，并提供证书，由学院认定。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A4社会工作</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A41校、院学生干部</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1~6分</w:t>
            </w:r>
          </w:p>
        </w:tc>
        <w:tc>
          <w:tcPr>
            <w:tcW w:w="8383" w:type="dxa"/>
            <w:gridSpan w:val="2"/>
            <w:vAlign w:val="center"/>
          </w:tcPr>
          <w:p>
            <w:pPr>
              <w:spacing w:line="320" w:lineRule="exact"/>
              <w:rPr>
                <w:rFonts w:hint="eastAsia" w:ascii="仿宋_GB2312" w:hAnsi="仿宋" w:eastAsia="仿宋_GB2312"/>
                <w:color w:val="auto"/>
                <w:szCs w:val="21"/>
              </w:rPr>
            </w:pPr>
            <w:r>
              <w:rPr>
                <w:rFonts w:hint="eastAsia" w:ascii="仿宋_GB2312" w:hAnsi="仿宋" w:eastAsia="仿宋_GB2312"/>
                <w:color w:val="auto"/>
                <w:szCs w:val="21"/>
              </w:rPr>
              <w:t>A41校研究生会主席6分、副主席4分，部长3分、副部长2分；校团委学生兼职副书记6分；院研究生会主席5分、副主席3分、部长2分、副部长1分；院团委学生兼职副书记5分；党支部书记5分、副书记3分、支委委员1分；班级班长、团支部书记3分，班委、支委1分；辅导员学生助理5分。以上任职须任满一届，不重复计分，最高分6分。</w:t>
            </w:r>
          </w:p>
          <w:p>
            <w:pPr>
              <w:spacing w:line="320" w:lineRule="exact"/>
              <w:rPr>
                <w:rFonts w:hint="eastAsia" w:ascii="仿宋_GB2312" w:hAnsi="仿宋" w:eastAsia="仿宋_GB2312"/>
                <w:color w:val="auto"/>
                <w:szCs w:val="21"/>
              </w:rPr>
            </w:pPr>
            <w:r>
              <w:rPr>
                <w:rFonts w:hint="eastAsia" w:eastAsia="仿宋_GB2312"/>
                <w:color w:val="auto"/>
                <w:sz w:val="21"/>
                <w:szCs w:val="21"/>
                <w:lang w:val="en-US" w:eastAsia="zh-CN"/>
              </w:rPr>
              <w:t>学生干部工作需按年度评级，对应级别为优秀、良好、合格、不合格，对应得分系数分别为1、0.8、0.6、0。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tcBorders>
              <w:top w:val="double" w:color="auto" w:sz="4" w:space="0"/>
            </w:tcBorders>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B学业成绩</w:t>
            </w:r>
          </w:p>
        </w:tc>
        <w:tc>
          <w:tcPr>
            <w:tcW w:w="1627" w:type="dxa"/>
            <w:vMerge w:val="restart"/>
            <w:tcBorders>
              <w:top w:val="double" w:color="auto" w:sz="4" w:space="0"/>
            </w:tcBorders>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B1课程学习</w:t>
            </w:r>
          </w:p>
        </w:tc>
        <w:tc>
          <w:tcPr>
            <w:tcW w:w="2279" w:type="dxa"/>
            <w:gridSpan w:val="3"/>
            <w:tcBorders>
              <w:top w:val="double" w:color="auto" w:sz="4" w:space="0"/>
            </w:tcBorders>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B11前10%</w:t>
            </w:r>
          </w:p>
        </w:tc>
        <w:tc>
          <w:tcPr>
            <w:tcW w:w="1133" w:type="dxa"/>
            <w:tcBorders>
              <w:top w:val="double" w:color="auto" w:sz="4" w:space="0"/>
            </w:tcBorders>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20分</w:t>
            </w:r>
          </w:p>
        </w:tc>
        <w:tc>
          <w:tcPr>
            <w:tcW w:w="8383" w:type="dxa"/>
            <w:gridSpan w:val="2"/>
            <w:vMerge w:val="restart"/>
            <w:tcBorders>
              <w:top w:val="double" w:color="auto" w:sz="4" w:space="0"/>
            </w:tcBorders>
            <w:vAlign w:val="center"/>
          </w:tcPr>
          <w:p>
            <w:pPr>
              <w:spacing w:line="320" w:lineRule="exact"/>
              <w:rPr>
                <w:rFonts w:hint="eastAsia" w:ascii="仿宋_GB2312" w:hAnsi="仿宋" w:eastAsia="仿宋_GB2312"/>
                <w:color w:val="auto"/>
                <w:szCs w:val="21"/>
              </w:rPr>
            </w:pPr>
            <w:r>
              <w:rPr>
                <w:rFonts w:hint="eastAsia" w:ascii="仿宋_GB2312" w:hAnsi="仿宋" w:eastAsia="仿宋_GB2312"/>
                <w:color w:val="auto"/>
                <w:szCs w:val="21"/>
              </w:rPr>
              <w:t>B1</w:t>
            </w:r>
            <w:r>
              <w:rPr>
                <w:rFonts w:hint="eastAsia" w:eastAsia="仿宋_GB2312"/>
                <w:color w:val="auto"/>
                <w:sz w:val="21"/>
                <w:szCs w:val="21"/>
                <w:lang w:val="en-US" w:eastAsia="zh-CN"/>
              </w:rPr>
              <w:t>课程分数积分等于课程成绩乘以对应课程学分之和除以应修总学分（不满足应修总学分的分以下3种情况考虑1.多选一门或几门课程的，在达到应修总学分前提下，选择课程成绩高的来计算，但必修课程必须计算在内；2.所选课程总学分超出应修总学分，且不能通过选择计算科目来达到应修总学分的，可将应修总学分替换为实际所获得学分；3.所获学分少于应修总学分的，仍旧按应修总学分计算）</w:t>
            </w:r>
            <w:r>
              <w:rPr>
                <w:rFonts w:hint="eastAsia" w:ascii="仿宋_GB2312" w:hAnsi="仿宋" w:eastAsia="仿宋_GB2312"/>
                <w:color w:val="auto"/>
                <w:szCs w:val="21"/>
                <w:lang w:eastAsia="zh-CN"/>
              </w:rPr>
              <w:t>。</w:t>
            </w:r>
            <w:r>
              <w:rPr>
                <w:rFonts w:hint="eastAsia" w:ascii="仿宋_GB2312" w:hAnsi="仿宋" w:eastAsia="仿宋_GB2312"/>
                <w:color w:val="auto"/>
                <w:szCs w:val="21"/>
              </w:rPr>
              <w:t>B21中期考核等级以学院考核为准。硕士二年级参评按B1课程学习成绩加分执行，硕士三年级参评按B2中期考核成绩加分执行。在参评学年，研究生必修课不及格且补考或重修未通过</w:t>
            </w:r>
            <w:r>
              <w:rPr>
                <w:rFonts w:hint="eastAsia" w:asciiTheme="minorEastAsia" w:hAnsiTheme="minorEastAsia" w:eastAsiaTheme="minorEastAsia"/>
                <w:color w:val="auto"/>
                <w:szCs w:val="21"/>
              </w:rPr>
              <w:t>者</w:t>
            </w:r>
            <w:r>
              <w:rPr>
                <w:rFonts w:hint="eastAsia" w:ascii="仿宋_GB2312" w:hAnsi="仿宋" w:eastAsia="仿宋_GB2312"/>
                <w:color w:val="auto"/>
                <w:szCs w:val="21"/>
              </w:rPr>
              <w:t>，没有参评资格。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tcBorders>
              <w:top w:val="single" w:color="auto" w:sz="4" w:space="0"/>
            </w:tcBorders>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B12前30%</w:t>
            </w:r>
          </w:p>
        </w:tc>
        <w:tc>
          <w:tcPr>
            <w:tcW w:w="1133" w:type="dxa"/>
            <w:tcBorders>
              <w:top w:val="single" w:color="auto" w:sz="4" w:space="0"/>
            </w:tcBorders>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15分</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tcBorders>
              <w:top w:val="single" w:color="auto" w:sz="4" w:space="0"/>
            </w:tcBorders>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B13前50%</w:t>
            </w:r>
          </w:p>
        </w:tc>
        <w:tc>
          <w:tcPr>
            <w:tcW w:w="1133" w:type="dxa"/>
            <w:tcBorders>
              <w:top w:val="single" w:color="auto" w:sz="4" w:space="0"/>
            </w:tcBorders>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10分</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tcBorders>
              <w:top w:val="single" w:color="auto" w:sz="4" w:space="0"/>
            </w:tcBorders>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B2中期考核</w:t>
            </w:r>
          </w:p>
        </w:tc>
        <w:tc>
          <w:tcPr>
            <w:tcW w:w="2279" w:type="dxa"/>
            <w:gridSpan w:val="3"/>
            <w:tcBorders>
              <w:top w:val="single" w:color="auto" w:sz="4" w:space="0"/>
            </w:tcBorders>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B21中期考核合格</w:t>
            </w:r>
          </w:p>
        </w:tc>
        <w:tc>
          <w:tcPr>
            <w:tcW w:w="1133" w:type="dxa"/>
            <w:tcBorders>
              <w:top w:val="single" w:color="auto" w:sz="4" w:space="0"/>
            </w:tcBorders>
            <w:vAlign w:val="center"/>
          </w:tcPr>
          <w:p>
            <w:pPr>
              <w:spacing w:line="320" w:lineRule="exact"/>
              <w:jc w:val="center"/>
              <w:rPr>
                <w:rFonts w:ascii="仿宋_GB2312" w:hAnsi="仿宋" w:eastAsia="仿宋_GB2312"/>
                <w:color w:val="auto"/>
                <w:szCs w:val="21"/>
              </w:rPr>
            </w:pPr>
            <w:r>
              <w:rPr>
                <w:rFonts w:hint="eastAsia" w:eastAsia="仿宋_GB2312"/>
                <w:color w:val="auto"/>
                <w:sz w:val="21"/>
                <w:szCs w:val="21"/>
                <w:lang w:val="en-US" w:eastAsia="zh-CN"/>
              </w:rPr>
              <w:t>15分</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restart"/>
            <w:tcBorders>
              <w:top w:val="single" w:color="auto" w:sz="4" w:space="0"/>
              <w:bottom w:val="single" w:color="auto" w:sz="4" w:space="0"/>
            </w:tcBorders>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B3境外交流</w:t>
            </w:r>
          </w:p>
        </w:tc>
        <w:tc>
          <w:tcPr>
            <w:tcW w:w="2279" w:type="dxa"/>
            <w:gridSpan w:val="3"/>
            <w:tcBorders>
              <w:top w:val="single" w:color="auto" w:sz="4" w:space="0"/>
              <w:bottom w:val="single" w:color="auto" w:sz="4" w:space="0"/>
            </w:tcBorders>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B31三个月以下</w:t>
            </w:r>
          </w:p>
        </w:tc>
        <w:tc>
          <w:tcPr>
            <w:tcW w:w="1133" w:type="dxa"/>
            <w:tcBorders>
              <w:top w:val="single" w:color="auto" w:sz="4" w:space="0"/>
              <w:bottom w:val="single" w:color="auto" w:sz="4" w:space="0"/>
            </w:tcBorders>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10分</w:t>
            </w:r>
          </w:p>
        </w:tc>
        <w:tc>
          <w:tcPr>
            <w:tcW w:w="8383" w:type="dxa"/>
            <w:gridSpan w:val="2"/>
            <w:vMerge w:val="restart"/>
            <w:tcBorders>
              <w:top w:val="single" w:color="auto" w:sz="4" w:space="0"/>
              <w:bottom w:val="single" w:color="auto" w:sz="4" w:space="0"/>
            </w:tcBorders>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 xml:space="preserve">B31~B33以学院研究生秘书、研究生院备案为准。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rPr>
                <w:rFonts w:ascii="仿宋_GB2312" w:hAnsi="仿宋" w:eastAsia="仿宋_GB2312"/>
                <w:color w:val="auto"/>
                <w:sz w:val="24"/>
              </w:rPr>
            </w:pPr>
          </w:p>
        </w:tc>
        <w:tc>
          <w:tcPr>
            <w:tcW w:w="1627" w:type="dxa"/>
            <w:vMerge w:val="continue"/>
            <w:vAlign w:val="center"/>
          </w:tcPr>
          <w:p>
            <w:pPr>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B32三（含）至六个月</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15分</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B33六个月（含）及以上</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20分</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B4社会考试</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B41英语考试</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5分</w:t>
            </w:r>
          </w:p>
        </w:tc>
        <w:tc>
          <w:tcPr>
            <w:tcW w:w="8383" w:type="dxa"/>
            <w:gridSpan w:val="2"/>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B41托福≥90、雅思≥6.5等，需提供证明材料。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widowControl/>
              <w:spacing w:line="320" w:lineRule="exact"/>
              <w:rPr>
                <w:rFonts w:ascii="仿宋_GB2312" w:hAnsi="仿宋" w:eastAsia="仿宋_GB2312" w:cs="宋体"/>
                <w:color w:val="auto"/>
                <w:kern w:val="0"/>
                <w:sz w:val="24"/>
              </w:rPr>
            </w:pPr>
            <w:r>
              <w:rPr>
                <w:rFonts w:hint="eastAsia" w:ascii="仿宋_GB2312" w:hAnsi="仿宋" w:eastAsia="仿宋_GB2312"/>
                <w:color w:val="auto"/>
                <w:kern w:val="0"/>
              </w:rPr>
              <w:t>B42</w:t>
            </w:r>
            <w:r>
              <w:rPr>
                <w:rFonts w:hint="eastAsia" w:ascii="仿宋_GB2312" w:hAnsi="仿宋" w:eastAsia="仿宋_GB2312" w:cs="宋体"/>
                <w:color w:val="auto"/>
                <w:kern w:val="0"/>
              </w:rPr>
              <w:t>职业资格考试</w:t>
            </w:r>
          </w:p>
        </w:tc>
        <w:tc>
          <w:tcPr>
            <w:tcW w:w="1133" w:type="dxa"/>
            <w:vAlign w:val="center"/>
          </w:tcPr>
          <w:p>
            <w:pPr>
              <w:widowControl/>
              <w:spacing w:line="320" w:lineRule="exact"/>
              <w:jc w:val="center"/>
              <w:rPr>
                <w:rFonts w:ascii="仿宋_GB2312" w:hAnsi="仿宋" w:eastAsia="仿宋_GB2312" w:cs="宋体"/>
                <w:color w:val="auto"/>
                <w:kern w:val="0"/>
                <w:sz w:val="24"/>
              </w:rPr>
            </w:pPr>
            <w:r>
              <w:rPr>
                <w:rFonts w:hint="eastAsia" w:ascii="仿宋_GB2312" w:hAnsi="仿宋" w:eastAsia="仿宋_GB2312"/>
                <w:color w:val="auto"/>
                <w:kern w:val="0"/>
              </w:rPr>
              <w:t>3</w:t>
            </w:r>
            <w:r>
              <w:rPr>
                <w:rFonts w:hint="eastAsia" w:ascii="仿宋_GB2312" w:hAnsi="仿宋" w:eastAsia="仿宋_GB2312" w:cs="宋体"/>
                <w:color w:val="auto"/>
                <w:kern w:val="0"/>
              </w:rPr>
              <w:t>分/项</w:t>
            </w:r>
          </w:p>
        </w:tc>
        <w:tc>
          <w:tcPr>
            <w:tcW w:w="8383" w:type="dxa"/>
            <w:gridSpan w:val="2"/>
            <w:vAlign w:val="center"/>
          </w:tcPr>
          <w:p>
            <w:pPr>
              <w:widowControl/>
              <w:spacing w:line="320" w:lineRule="exact"/>
              <w:rPr>
                <w:rFonts w:ascii="仿宋_GB2312" w:hAnsi="仿宋" w:eastAsia="仿宋_GB2312" w:cs="宋体"/>
                <w:color w:val="auto"/>
                <w:kern w:val="0"/>
                <w:sz w:val="24"/>
              </w:rPr>
            </w:pPr>
            <w:r>
              <w:rPr>
                <w:rFonts w:hint="eastAsia" w:ascii="仿宋_GB2312" w:hAnsi="仿宋" w:eastAsia="仿宋_GB2312"/>
                <w:color w:val="auto"/>
                <w:kern w:val="0"/>
              </w:rPr>
              <w:t>B42</w:t>
            </w:r>
            <w:r>
              <w:rPr>
                <w:rFonts w:hint="eastAsia" w:ascii="仿宋_GB2312" w:hAnsi="仿宋" w:eastAsia="仿宋_GB2312" w:cs="宋体"/>
                <w:color w:val="auto"/>
                <w:kern w:val="0"/>
              </w:rPr>
              <w:t>学院确定各专业学位类别（领域）对应的职业资格考试名称，每个专业学位类别（领域）确定</w:t>
            </w:r>
            <w:r>
              <w:rPr>
                <w:rFonts w:hint="eastAsia" w:ascii="仿宋_GB2312" w:hAnsi="仿宋" w:eastAsia="仿宋_GB2312"/>
                <w:color w:val="auto"/>
                <w:kern w:val="0"/>
              </w:rPr>
              <w:t>1-2</w:t>
            </w:r>
            <w:r>
              <w:rPr>
                <w:rFonts w:hint="eastAsia" w:ascii="仿宋_GB2312" w:hAnsi="仿宋" w:eastAsia="仿宋_GB2312" w:cs="宋体"/>
                <w:color w:val="auto"/>
                <w:kern w:val="0"/>
              </w:rPr>
              <w:t>种。（需提供证书复印件）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40" w:type="dxa"/>
            <w:vMerge w:val="restart"/>
            <w:tcBorders>
              <w:top w:val="double" w:color="auto" w:sz="4" w:space="0"/>
            </w:tcBorders>
            <w:vAlign w:val="center"/>
          </w:tcPr>
          <w:p>
            <w:pPr>
              <w:spacing w:line="360" w:lineRule="exact"/>
              <w:rPr>
                <w:rFonts w:ascii="仿宋_GB2312" w:hAnsi="仿宋" w:eastAsia="仿宋_GB2312"/>
                <w:color w:val="auto"/>
                <w:sz w:val="24"/>
              </w:rPr>
            </w:pPr>
          </w:p>
          <w:p>
            <w:pPr>
              <w:spacing w:line="360" w:lineRule="exact"/>
              <w:rPr>
                <w:rFonts w:ascii="仿宋_GB2312" w:hAnsi="仿宋" w:eastAsia="仿宋_GB2312"/>
                <w:color w:val="auto"/>
                <w:sz w:val="24"/>
              </w:rPr>
            </w:pPr>
          </w:p>
          <w:p>
            <w:pPr>
              <w:spacing w:line="360" w:lineRule="exact"/>
              <w:rPr>
                <w:rFonts w:ascii="仿宋_GB2312" w:hAnsi="仿宋" w:eastAsia="仿宋_GB2312"/>
                <w:color w:val="auto"/>
                <w:sz w:val="24"/>
              </w:rPr>
            </w:pPr>
          </w:p>
          <w:p>
            <w:pPr>
              <w:spacing w:line="360" w:lineRule="exact"/>
              <w:rPr>
                <w:rFonts w:ascii="仿宋_GB2312" w:hAnsi="仿宋" w:eastAsia="仿宋_GB2312"/>
                <w:color w:val="auto"/>
                <w:sz w:val="24"/>
              </w:rPr>
            </w:pPr>
          </w:p>
          <w:p>
            <w:pPr>
              <w:spacing w:line="360" w:lineRule="exact"/>
              <w:rPr>
                <w:rFonts w:ascii="仿宋_GB2312" w:hAnsi="仿宋" w:eastAsia="仿宋_GB2312"/>
                <w:color w:val="auto"/>
                <w:sz w:val="24"/>
              </w:rPr>
            </w:pPr>
            <w:r>
              <w:rPr>
                <w:rFonts w:hint="eastAsia" w:ascii="仿宋_GB2312" w:hAnsi="仿宋" w:eastAsia="仿宋_GB2312"/>
                <w:color w:val="auto"/>
                <w:sz w:val="24"/>
              </w:rPr>
              <w:t>C科研能力</w:t>
            </w:r>
          </w:p>
        </w:tc>
        <w:tc>
          <w:tcPr>
            <w:tcW w:w="1627" w:type="dxa"/>
            <w:vMerge w:val="restart"/>
            <w:tcBorders>
              <w:top w:val="double" w:color="auto" w:sz="4" w:space="0"/>
            </w:tcBorders>
            <w:vAlign w:val="center"/>
          </w:tcPr>
          <w:p>
            <w:pPr>
              <w:spacing w:line="360" w:lineRule="exact"/>
              <w:rPr>
                <w:rFonts w:hint="eastAsia" w:ascii="仿宋_GB2312" w:hAnsi="仿宋" w:eastAsia="仿宋_GB2312"/>
                <w:color w:val="auto"/>
                <w:sz w:val="24"/>
              </w:rPr>
            </w:pPr>
            <w:r>
              <w:rPr>
                <w:rFonts w:hint="eastAsia" w:ascii="仿宋_GB2312" w:hAnsi="仿宋" w:eastAsia="仿宋_GB2312"/>
                <w:color w:val="auto"/>
                <w:sz w:val="24"/>
              </w:rPr>
              <w:t>C1学术论文</w:t>
            </w:r>
          </w:p>
          <w:p>
            <w:pPr>
              <w:spacing w:line="360" w:lineRule="exact"/>
              <w:rPr>
                <w:rFonts w:hint="eastAsia" w:ascii="仿宋_GB2312" w:hAnsi="仿宋" w:eastAsia="仿宋_GB2312"/>
                <w:color w:val="auto"/>
                <w:sz w:val="24"/>
              </w:rPr>
            </w:pPr>
          </w:p>
        </w:tc>
        <w:tc>
          <w:tcPr>
            <w:tcW w:w="2279" w:type="dxa"/>
            <w:gridSpan w:val="3"/>
            <w:tcBorders>
              <w:top w:val="double" w:color="auto" w:sz="4" w:space="0"/>
            </w:tcBorders>
            <w:vAlign w:val="center"/>
          </w:tcPr>
          <w:p>
            <w:pPr>
              <w:widowControl/>
              <w:spacing w:line="360" w:lineRule="exact"/>
              <w:jc w:val="center"/>
              <w:rPr>
                <w:rFonts w:hint="default" w:ascii="仿宋_GB2312" w:hAnsi="仿宋" w:eastAsia="仿宋_GB2312"/>
                <w:b/>
                <w:color w:val="auto"/>
                <w:szCs w:val="21"/>
                <w:lang w:val="en-US" w:eastAsia="zh-CN"/>
              </w:rPr>
            </w:pPr>
            <w:r>
              <w:rPr>
                <w:rFonts w:hint="eastAsia" w:ascii="仿宋_GB2312" w:hAnsi="仿宋" w:eastAsia="仿宋_GB2312"/>
                <w:b/>
                <w:color w:val="auto"/>
                <w:szCs w:val="21"/>
                <w:lang w:val="en-US" w:eastAsia="zh-CN"/>
              </w:rPr>
              <w:t>档次与分值</w:t>
            </w:r>
          </w:p>
        </w:tc>
        <w:tc>
          <w:tcPr>
            <w:tcW w:w="9516" w:type="dxa"/>
            <w:gridSpan w:val="3"/>
            <w:tcBorders>
              <w:top w:val="double" w:color="auto" w:sz="4" w:space="0"/>
            </w:tcBorders>
            <w:vAlign w:val="center"/>
          </w:tcPr>
          <w:p>
            <w:pPr>
              <w:widowControl/>
              <w:spacing w:line="360" w:lineRule="exact"/>
              <w:jc w:val="center"/>
              <w:rPr>
                <w:rFonts w:hint="default" w:ascii="仿宋_GB2312" w:hAnsi="仿宋" w:eastAsia="仿宋_GB2312"/>
                <w:b/>
                <w:color w:val="auto"/>
                <w:szCs w:val="21"/>
                <w:lang w:val="en-US" w:eastAsia="zh-CN"/>
              </w:rPr>
            </w:pPr>
            <w:r>
              <w:rPr>
                <w:rFonts w:hint="eastAsia" w:ascii="仿宋_GB2312" w:hAnsi="仿宋" w:eastAsia="仿宋_GB2312"/>
                <w:b/>
                <w:bCs/>
                <w:color w:val="auto"/>
                <w:szCs w:val="21"/>
                <w:lang w:val="en-US" w:eastAsia="zh-CN"/>
              </w:rPr>
              <w:t>期刊类别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064" w:type="dxa"/>
            <w:vAlign w:val="center"/>
          </w:tcPr>
          <w:p>
            <w:pPr>
              <w:spacing w:line="360" w:lineRule="exact"/>
              <w:rPr>
                <w:rFonts w:ascii="仿宋_GB2312" w:hAnsi="仿宋" w:eastAsia="仿宋_GB2312"/>
                <w:color w:val="auto"/>
                <w:szCs w:val="21"/>
              </w:rPr>
            </w:pPr>
            <w:r>
              <w:rPr>
                <w:rFonts w:hint="eastAsia" w:ascii="仿宋_GB2312" w:hAnsi="仿宋" w:eastAsia="仿宋_GB2312"/>
                <w:color w:val="auto"/>
                <w:szCs w:val="21"/>
              </w:rPr>
              <w:t>C11一档</w:t>
            </w:r>
          </w:p>
        </w:tc>
        <w:tc>
          <w:tcPr>
            <w:tcW w:w="1215" w:type="dxa"/>
            <w:gridSpan w:val="2"/>
            <w:shd w:val="clear" w:color="auto" w:fill="FFFFFF" w:themeFill="background1"/>
            <w:vAlign w:val="center"/>
          </w:tcPr>
          <w:p>
            <w:pPr>
              <w:spacing w:line="360" w:lineRule="exact"/>
              <w:jc w:val="center"/>
              <w:rPr>
                <w:rFonts w:ascii="仿宋_GB2312" w:hAnsi="仿宋" w:eastAsia="仿宋_GB2312"/>
                <w:color w:val="auto"/>
                <w:szCs w:val="21"/>
              </w:rPr>
            </w:pPr>
            <w:r>
              <w:rPr>
                <w:rFonts w:hint="eastAsia" w:ascii="仿宋_GB2312" w:hAnsi="仿宋" w:eastAsia="仿宋_GB2312"/>
                <w:color w:val="auto"/>
                <w:szCs w:val="21"/>
              </w:rPr>
              <w:t>200分/篇</w:t>
            </w:r>
          </w:p>
        </w:tc>
        <w:tc>
          <w:tcPr>
            <w:tcW w:w="9516" w:type="dxa"/>
            <w:gridSpan w:val="3"/>
            <w:vAlign w:val="center"/>
          </w:tcPr>
          <w:p>
            <w:pPr>
              <w:widowControl/>
              <w:spacing w:line="320" w:lineRule="exact"/>
              <w:jc w:val="left"/>
              <w:rPr>
                <w:rFonts w:ascii="仿宋_GB2312" w:hAnsi="仿宋" w:eastAsia="仿宋_GB2312"/>
                <w:color w:val="auto"/>
                <w:szCs w:val="21"/>
              </w:rPr>
            </w:pPr>
            <w:r>
              <w:rPr>
                <w:rFonts w:hint="eastAsia" w:ascii="仿宋_GB2312" w:hAnsi="仿宋" w:eastAsia="仿宋_GB2312"/>
                <w:color w:val="auto"/>
                <w:szCs w:val="21"/>
                <w:lang w:val="en-US" w:eastAsia="zh-CN"/>
              </w:rPr>
              <w:t>1、</w:t>
            </w:r>
            <w:r>
              <w:rPr>
                <w:rFonts w:hint="eastAsia" w:ascii="仿宋_GB2312" w:hAnsi="仿宋" w:eastAsia="仿宋_GB2312"/>
                <w:color w:val="auto"/>
                <w:szCs w:val="21"/>
              </w:rPr>
              <w:t>Nature、Science、Cell</w:t>
            </w:r>
            <w:r>
              <w:rPr>
                <w:rFonts w:hint="eastAsia" w:ascii="仿宋_GB2312" w:hAnsi="仿宋" w:eastAsia="仿宋_GB2312"/>
                <w:color w:val="auto"/>
                <w:szCs w:val="21"/>
                <w:lang w:eastAsia="zh-CN"/>
              </w:rPr>
              <w:t>、</w:t>
            </w:r>
            <w:r>
              <w:rPr>
                <w:rFonts w:hint="eastAsia" w:ascii="仿宋_GB2312" w:hAnsi="仿宋" w:eastAsia="仿宋_GB2312"/>
                <w:color w:val="auto"/>
                <w:szCs w:val="21"/>
              </w:rPr>
              <w:t>PNAS，或研究论文影响因子≥20（不含Review类期刊）。2.自然指数Nature Index期刊论文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064" w:type="dxa"/>
            <w:vAlign w:val="center"/>
          </w:tcPr>
          <w:p>
            <w:pPr>
              <w:spacing w:line="360" w:lineRule="exact"/>
              <w:rPr>
                <w:rFonts w:ascii="仿宋_GB2312" w:hAnsi="仿宋" w:eastAsia="仿宋_GB2312"/>
                <w:color w:val="auto"/>
                <w:szCs w:val="21"/>
              </w:rPr>
            </w:pPr>
            <w:r>
              <w:rPr>
                <w:rFonts w:hint="eastAsia" w:ascii="仿宋_GB2312" w:hAnsi="仿宋" w:eastAsia="仿宋_GB2312"/>
                <w:color w:val="auto"/>
                <w:szCs w:val="21"/>
              </w:rPr>
              <w:t>C12二档</w:t>
            </w:r>
          </w:p>
        </w:tc>
        <w:tc>
          <w:tcPr>
            <w:tcW w:w="1215" w:type="dxa"/>
            <w:gridSpan w:val="2"/>
            <w:vAlign w:val="center"/>
          </w:tcPr>
          <w:p>
            <w:pPr>
              <w:spacing w:line="360" w:lineRule="exact"/>
              <w:jc w:val="center"/>
              <w:rPr>
                <w:rFonts w:ascii="仿宋_GB2312" w:hAnsi="仿宋" w:eastAsia="仿宋_GB2312"/>
                <w:color w:val="auto"/>
                <w:szCs w:val="21"/>
              </w:rPr>
            </w:pPr>
            <w:r>
              <w:rPr>
                <w:rFonts w:hint="eastAsia" w:ascii="仿宋_GB2312" w:hAnsi="仿宋" w:eastAsia="仿宋_GB2312"/>
                <w:color w:val="auto"/>
                <w:szCs w:val="21"/>
              </w:rPr>
              <w:t>100分/篇</w:t>
            </w:r>
          </w:p>
        </w:tc>
        <w:tc>
          <w:tcPr>
            <w:tcW w:w="9516" w:type="dxa"/>
            <w:gridSpan w:val="3"/>
          </w:tcPr>
          <w:p>
            <w:pPr>
              <w:spacing w:line="320" w:lineRule="exact"/>
              <w:rPr>
                <w:rFonts w:hint="eastAsia" w:eastAsia="仿宋_GB2312"/>
                <w:color w:val="auto"/>
                <w:sz w:val="21"/>
                <w:szCs w:val="21"/>
                <w:lang w:val="en-US" w:eastAsia="zh-CN"/>
              </w:rPr>
            </w:pPr>
            <w:r>
              <w:rPr>
                <w:rFonts w:hint="eastAsia" w:eastAsia="仿宋_GB2312"/>
                <w:color w:val="auto"/>
                <w:sz w:val="21"/>
                <w:szCs w:val="21"/>
                <w:lang w:val="en-US" w:eastAsia="zh-CN"/>
              </w:rPr>
              <w:t xml:space="preserve">SCI一区论文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064" w:type="dxa"/>
            <w:vAlign w:val="center"/>
          </w:tcPr>
          <w:p>
            <w:pPr>
              <w:rPr>
                <w:rFonts w:ascii="仿宋_GB2312" w:hAnsi="仿宋" w:eastAsia="仿宋_GB2312"/>
                <w:color w:val="auto"/>
                <w:szCs w:val="21"/>
              </w:rPr>
            </w:pPr>
            <w:r>
              <w:rPr>
                <w:rFonts w:hint="eastAsia" w:ascii="仿宋_GB2312" w:hAnsi="仿宋" w:eastAsia="仿宋_GB2312"/>
                <w:color w:val="auto"/>
                <w:szCs w:val="21"/>
              </w:rPr>
              <w:t>C13三档</w:t>
            </w:r>
          </w:p>
        </w:tc>
        <w:tc>
          <w:tcPr>
            <w:tcW w:w="1215" w:type="dxa"/>
            <w:gridSpan w:val="2"/>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50分/篇</w:t>
            </w:r>
          </w:p>
        </w:tc>
        <w:tc>
          <w:tcPr>
            <w:tcW w:w="9516" w:type="dxa"/>
            <w:gridSpan w:val="3"/>
            <w:vAlign w:val="center"/>
          </w:tcPr>
          <w:p>
            <w:pPr>
              <w:spacing w:line="320" w:lineRule="exact"/>
              <w:rPr>
                <w:rFonts w:hint="eastAsia" w:eastAsia="仿宋_GB2312"/>
                <w:color w:val="auto"/>
                <w:sz w:val="21"/>
                <w:szCs w:val="21"/>
                <w:lang w:val="en-US" w:eastAsia="zh-CN"/>
              </w:rPr>
            </w:pPr>
            <w:r>
              <w:rPr>
                <w:rFonts w:hint="eastAsia" w:eastAsia="仿宋_GB2312"/>
                <w:color w:val="auto"/>
                <w:sz w:val="21"/>
                <w:szCs w:val="21"/>
                <w:lang w:val="en-US" w:eastAsia="zh-CN"/>
              </w:rPr>
              <w:t>SCI二区论文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064" w:type="dxa"/>
            <w:vAlign w:val="center"/>
          </w:tcPr>
          <w:p>
            <w:pPr>
              <w:spacing w:line="360" w:lineRule="exact"/>
              <w:rPr>
                <w:rFonts w:ascii="仿宋_GB2312" w:hAnsi="仿宋" w:eastAsia="仿宋_GB2312"/>
                <w:color w:val="auto"/>
                <w:szCs w:val="21"/>
              </w:rPr>
            </w:pPr>
            <w:r>
              <w:rPr>
                <w:rFonts w:hint="eastAsia" w:ascii="仿宋_GB2312" w:hAnsi="仿宋" w:eastAsia="仿宋_GB2312"/>
                <w:color w:val="auto"/>
                <w:szCs w:val="21"/>
              </w:rPr>
              <w:t>C14四档</w:t>
            </w:r>
          </w:p>
        </w:tc>
        <w:tc>
          <w:tcPr>
            <w:tcW w:w="1215" w:type="dxa"/>
            <w:gridSpan w:val="2"/>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30分/篇</w:t>
            </w:r>
          </w:p>
        </w:tc>
        <w:tc>
          <w:tcPr>
            <w:tcW w:w="9516" w:type="dxa"/>
            <w:gridSpan w:val="3"/>
            <w:vAlign w:val="center"/>
          </w:tcPr>
          <w:p>
            <w:pPr>
              <w:spacing w:line="320" w:lineRule="exact"/>
              <w:rPr>
                <w:rFonts w:hint="eastAsia" w:eastAsia="仿宋_GB2312"/>
                <w:color w:val="auto"/>
                <w:sz w:val="21"/>
                <w:szCs w:val="21"/>
                <w:lang w:val="en-US" w:eastAsia="zh-CN"/>
              </w:rPr>
            </w:pPr>
            <w:r>
              <w:rPr>
                <w:rFonts w:hint="eastAsia" w:eastAsia="仿宋_GB2312"/>
                <w:color w:val="auto"/>
                <w:sz w:val="21"/>
                <w:szCs w:val="21"/>
                <w:lang w:val="en-US" w:eastAsia="zh-CN"/>
              </w:rPr>
              <w:t>SCI三区论文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064" w:type="dxa"/>
            <w:vAlign w:val="center"/>
          </w:tcPr>
          <w:p>
            <w:pPr>
              <w:spacing w:line="360" w:lineRule="exact"/>
              <w:rPr>
                <w:rFonts w:ascii="仿宋_GB2312" w:hAnsi="仿宋" w:eastAsia="仿宋_GB2312"/>
                <w:color w:val="auto"/>
                <w:szCs w:val="21"/>
              </w:rPr>
            </w:pPr>
            <w:r>
              <w:rPr>
                <w:rFonts w:hint="eastAsia" w:ascii="仿宋_GB2312" w:hAnsi="仿宋" w:eastAsia="仿宋_GB2312"/>
                <w:color w:val="auto"/>
                <w:szCs w:val="21"/>
              </w:rPr>
              <w:t>C15五档</w:t>
            </w:r>
          </w:p>
        </w:tc>
        <w:tc>
          <w:tcPr>
            <w:tcW w:w="1215" w:type="dxa"/>
            <w:gridSpan w:val="2"/>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20分/篇</w:t>
            </w:r>
          </w:p>
        </w:tc>
        <w:tc>
          <w:tcPr>
            <w:tcW w:w="9516" w:type="dxa"/>
            <w:gridSpan w:val="3"/>
          </w:tcPr>
          <w:p>
            <w:pPr>
              <w:spacing w:line="320" w:lineRule="exact"/>
              <w:rPr>
                <w:rFonts w:hint="eastAsia" w:eastAsia="仿宋_GB2312"/>
                <w:color w:val="auto"/>
                <w:sz w:val="21"/>
                <w:szCs w:val="21"/>
                <w:lang w:val="en-US" w:eastAsia="zh-CN"/>
              </w:rPr>
            </w:pPr>
            <w:r>
              <w:rPr>
                <w:rFonts w:hint="eastAsia" w:eastAsia="仿宋_GB2312"/>
                <w:color w:val="auto"/>
                <w:sz w:val="21"/>
                <w:szCs w:val="21"/>
                <w:lang w:val="en-US" w:eastAsia="zh-CN"/>
              </w:rPr>
              <w:t>SCI四区论文</w:t>
            </w:r>
          </w:p>
          <w:p>
            <w:pPr>
              <w:spacing w:line="320" w:lineRule="exact"/>
              <w:rPr>
                <w:rFonts w:hint="eastAsia" w:eastAsia="仿宋_GB2312"/>
                <w:color w:val="auto"/>
                <w:sz w:val="21"/>
                <w:szCs w:val="21"/>
                <w:lang w:val="en-US" w:eastAsia="zh-CN"/>
              </w:rPr>
            </w:pPr>
            <w:r>
              <w:rPr>
                <w:rFonts w:hint="eastAsia" w:eastAsia="仿宋_GB2312"/>
                <w:color w:val="auto"/>
                <w:sz w:val="21"/>
                <w:szCs w:val="21"/>
                <w:lang w:val="en-US" w:eastAsia="zh-CN"/>
              </w:rPr>
              <w:t>EI（JA）论文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064" w:type="dxa"/>
            <w:vMerge w:val="restart"/>
            <w:vAlign w:val="center"/>
          </w:tcPr>
          <w:p>
            <w:pPr>
              <w:spacing w:line="360" w:lineRule="exact"/>
              <w:rPr>
                <w:rFonts w:ascii="仿宋_GB2312" w:hAnsi="仿宋" w:eastAsia="仿宋_GB2312"/>
                <w:color w:val="auto"/>
                <w:szCs w:val="21"/>
              </w:rPr>
            </w:pPr>
            <w:r>
              <w:rPr>
                <w:rFonts w:hint="eastAsia" w:ascii="仿宋_GB2312" w:hAnsi="仿宋" w:eastAsia="仿宋_GB2312"/>
                <w:color w:val="auto"/>
                <w:szCs w:val="21"/>
              </w:rPr>
              <w:t>C16六档</w:t>
            </w:r>
          </w:p>
        </w:tc>
        <w:tc>
          <w:tcPr>
            <w:tcW w:w="1215" w:type="dxa"/>
            <w:gridSpan w:val="2"/>
            <w:vAlign w:val="center"/>
          </w:tcPr>
          <w:p>
            <w:pPr>
              <w:spacing w:line="360" w:lineRule="exact"/>
              <w:jc w:val="center"/>
              <w:rPr>
                <w:rFonts w:ascii="仿宋_GB2312" w:hAnsi="仿宋" w:eastAsia="仿宋_GB2312"/>
                <w:color w:val="auto"/>
                <w:szCs w:val="21"/>
              </w:rPr>
            </w:pPr>
            <w:r>
              <w:rPr>
                <w:rFonts w:hint="eastAsia" w:ascii="仿宋_GB2312" w:hAnsi="仿宋" w:eastAsia="仿宋_GB2312"/>
                <w:color w:val="auto"/>
                <w:szCs w:val="21"/>
              </w:rPr>
              <w:t>10分/篇</w:t>
            </w:r>
          </w:p>
        </w:tc>
        <w:tc>
          <w:tcPr>
            <w:tcW w:w="9516" w:type="dxa"/>
            <w:gridSpan w:val="3"/>
          </w:tcPr>
          <w:p>
            <w:pPr>
              <w:spacing w:line="320" w:lineRule="exact"/>
              <w:rPr>
                <w:rFonts w:hint="eastAsia" w:eastAsia="仿宋_GB2312"/>
                <w:color w:val="auto"/>
                <w:sz w:val="21"/>
                <w:szCs w:val="21"/>
                <w:lang w:val="en-US" w:eastAsia="zh-CN"/>
              </w:rPr>
            </w:pPr>
            <w:r>
              <w:rPr>
                <w:rFonts w:hint="eastAsia" w:eastAsia="仿宋_GB2312"/>
                <w:color w:val="auto"/>
                <w:sz w:val="21"/>
                <w:szCs w:val="21"/>
                <w:lang w:val="en-US" w:eastAsia="zh-CN"/>
              </w:rPr>
              <w:t>CSCD（核心库）收录论文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064" w:type="dxa"/>
            <w:vMerge w:val="continue"/>
            <w:vAlign w:val="center"/>
          </w:tcPr>
          <w:p>
            <w:pPr>
              <w:spacing w:line="360" w:lineRule="exact"/>
              <w:rPr>
                <w:rFonts w:ascii="仿宋_GB2312" w:hAnsi="仿宋" w:eastAsia="仿宋_GB2312"/>
                <w:color w:val="auto"/>
                <w:szCs w:val="21"/>
              </w:rPr>
            </w:pPr>
          </w:p>
        </w:tc>
        <w:tc>
          <w:tcPr>
            <w:tcW w:w="1215" w:type="dxa"/>
            <w:gridSpan w:val="2"/>
            <w:vAlign w:val="center"/>
          </w:tcPr>
          <w:p>
            <w:pPr>
              <w:spacing w:line="360" w:lineRule="exact"/>
              <w:jc w:val="center"/>
              <w:rPr>
                <w:rFonts w:ascii="仿宋_GB2312" w:hAnsi="仿宋" w:eastAsia="仿宋_GB2312"/>
                <w:color w:val="auto"/>
                <w:szCs w:val="21"/>
              </w:rPr>
            </w:pPr>
            <w:r>
              <w:rPr>
                <w:rFonts w:hint="eastAsia" w:ascii="仿宋_GB2312" w:hAnsi="仿宋" w:eastAsia="仿宋_GB2312"/>
                <w:color w:val="auto"/>
                <w:szCs w:val="21"/>
              </w:rPr>
              <w:t>6分/篇</w:t>
            </w:r>
          </w:p>
        </w:tc>
        <w:tc>
          <w:tcPr>
            <w:tcW w:w="9516" w:type="dxa"/>
            <w:gridSpan w:val="3"/>
          </w:tcPr>
          <w:p>
            <w:pPr>
              <w:spacing w:line="320" w:lineRule="exact"/>
              <w:rPr>
                <w:rFonts w:hint="default" w:eastAsia="仿宋_GB2312"/>
                <w:color w:val="auto"/>
                <w:sz w:val="21"/>
                <w:szCs w:val="21"/>
                <w:lang w:val="en-US" w:eastAsia="zh-CN"/>
              </w:rPr>
            </w:pPr>
            <w:r>
              <w:rPr>
                <w:rFonts w:hint="eastAsia" w:eastAsia="仿宋_GB2312"/>
                <w:color w:val="auto"/>
                <w:sz w:val="21"/>
                <w:szCs w:val="21"/>
                <w:lang w:val="en-US" w:eastAsia="zh-CN"/>
              </w:rPr>
              <w:t>北大图书馆中文核心期刊论文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1064" w:type="dxa"/>
            <w:vAlign w:val="center"/>
          </w:tcPr>
          <w:p>
            <w:pPr>
              <w:spacing w:line="360" w:lineRule="exact"/>
              <w:rPr>
                <w:rFonts w:ascii="仿宋_GB2312" w:hAnsi="仿宋" w:eastAsia="仿宋_GB2312"/>
                <w:color w:val="auto"/>
                <w:szCs w:val="21"/>
              </w:rPr>
            </w:pPr>
            <w:r>
              <w:rPr>
                <w:rFonts w:hint="eastAsia" w:ascii="仿宋_GB2312" w:hAnsi="仿宋" w:eastAsia="仿宋_GB2312"/>
                <w:color w:val="auto"/>
                <w:szCs w:val="21"/>
              </w:rPr>
              <w:t>C17七档</w:t>
            </w:r>
          </w:p>
        </w:tc>
        <w:tc>
          <w:tcPr>
            <w:tcW w:w="1215" w:type="dxa"/>
            <w:gridSpan w:val="2"/>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2分/篇</w:t>
            </w:r>
          </w:p>
        </w:tc>
        <w:tc>
          <w:tcPr>
            <w:tcW w:w="9516" w:type="dxa"/>
            <w:gridSpan w:val="3"/>
          </w:tcPr>
          <w:p>
            <w:pPr>
              <w:widowControl/>
              <w:spacing w:line="320" w:lineRule="exact"/>
              <w:rPr>
                <w:rFonts w:ascii="仿宋_GB2312" w:hAnsi="仿宋" w:eastAsia="仿宋_GB2312"/>
                <w:color w:val="auto"/>
                <w:szCs w:val="21"/>
              </w:rPr>
            </w:pPr>
            <w:r>
              <w:rPr>
                <w:rFonts w:hint="eastAsia" w:ascii="仿宋_GB2312" w:hAnsi="仿宋" w:eastAsia="仿宋_GB2312"/>
                <w:color w:val="auto"/>
                <w:szCs w:val="21"/>
              </w:rPr>
              <w:t>省级以上刊物</w:t>
            </w:r>
            <w:r>
              <w:rPr>
                <w:rFonts w:hint="eastAsia" w:ascii="仿宋_GB2312" w:hAnsi="仿宋" w:eastAsia="仿宋_GB2312"/>
                <w:color w:val="auto"/>
                <w:szCs w:val="21"/>
                <w:lang w:val="en-US" w:eastAsia="zh-CN"/>
              </w:rPr>
              <w:t>论文</w:t>
            </w:r>
            <w:r>
              <w:rPr>
                <w:rFonts w:hint="eastAsia" w:ascii="仿宋_GB2312" w:hAnsi="仿宋" w:eastAsia="仿宋_GB2312"/>
                <w:color w:val="auto"/>
                <w:szCs w:val="21"/>
              </w:rPr>
              <w:t>，最多计1篇。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C2 著作</w:t>
            </w:r>
          </w:p>
        </w:tc>
        <w:tc>
          <w:tcPr>
            <w:tcW w:w="1064" w:type="dxa"/>
            <w:vAlign w:val="center"/>
          </w:tcPr>
          <w:p>
            <w:pPr>
              <w:spacing w:line="360" w:lineRule="exact"/>
              <w:rPr>
                <w:rFonts w:ascii="仿宋_GB2312" w:hAnsi="仿宋" w:eastAsia="仿宋_GB2312"/>
                <w:color w:val="auto"/>
                <w:szCs w:val="21"/>
              </w:rPr>
            </w:pPr>
            <w:r>
              <w:rPr>
                <w:rFonts w:hint="eastAsia" w:ascii="仿宋_GB2312" w:hAnsi="仿宋" w:eastAsia="仿宋_GB2312"/>
                <w:color w:val="auto"/>
                <w:szCs w:val="21"/>
              </w:rPr>
              <w:t>C21独立撰写或参编著作</w:t>
            </w:r>
          </w:p>
        </w:tc>
        <w:tc>
          <w:tcPr>
            <w:tcW w:w="1215" w:type="dxa"/>
            <w:gridSpan w:val="2"/>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1-10分</w:t>
            </w:r>
          </w:p>
        </w:tc>
        <w:tc>
          <w:tcPr>
            <w:tcW w:w="9516" w:type="dxa"/>
            <w:gridSpan w:val="3"/>
          </w:tcPr>
          <w:p>
            <w:pPr>
              <w:widowControl/>
              <w:spacing w:line="320" w:lineRule="exact"/>
              <w:rPr>
                <w:rFonts w:ascii="仿宋_GB2312" w:hAnsi="仿宋" w:eastAsia="仿宋_GB2312"/>
                <w:color w:val="auto"/>
                <w:szCs w:val="21"/>
              </w:rPr>
            </w:pPr>
          </w:p>
          <w:p>
            <w:pPr>
              <w:widowControl/>
              <w:spacing w:line="320" w:lineRule="exact"/>
              <w:rPr>
                <w:rFonts w:ascii="仿宋_GB2312" w:hAnsi="仿宋" w:eastAsia="仿宋_GB2312"/>
                <w:color w:val="auto"/>
                <w:szCs w:val="21"/>
              </w:rPr>
            </w:pPr>
            <w:r>
              <w:rPr>
                <w:rFonts w:hint="eastAsia" w:ascii="仿宋_GB2312" w:hAnsi="仿宋" w:eastAsia="仿宋_GB2312"/>
                <w:color w:val="auto"/>
                <w:szCs w:val="21"/>
              </w:rPr>
              <w:t>经明确认定，有独立参编相应章节的，字数每达1万字计1分，最高不超过10分。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C3学术报告</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C31</w:t>
            </w:r>
            <w:r>
              <w:rPr>
                <w:rFonts w:hint="eastAsia" w:ascii="仿宋_GB2312" w:hAnsi="仿宋" w:eastAsia="仿宋_GB2312"/>
                <w:color w:val="auto"/>
                <w:w w:val="80"/>
                <w:szCs w:val="21"/>
              </w:rPr>
              <w:t>国际会议（境外举办）</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10~20分</w:t>
            </w:r>
          </w:p>
        </w:tc>
        <w:tc>
          <w:tcPr>
            <w:tcW w:w="7142"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C31须参会并作口头报告20分，Poster计10分，并附佐证材料。在B3境外交流期间产生的C31分值不重复计算。</w:t>
            </w:r>
          </w:p>
        </w:tc>
        <w:tc>
          <w:tcPr>
            <w:tcW w:w="1241" w:type="dxa"/>
            <w:vMerge w:val="restart"/>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须作会议报告，并附佐证材料（汇报名单、照片）。学年内仅计1次。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C32国内会议</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5分</w:t>
            </w:r>
          </w:p>
        </w:tc>
        <w:tc>
          <w:tcPr>
            <w:tcW w:w="7142"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C32须参会并作大会报告或分会场主旨报告，并附佐证材料。</w:t>
            </w:r>
          </w:p>
        </w:tc>
        <w:tc>
          <w:tcPr>
            <w:tcW w:w="1241" w:type="dxa"/>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shd w:val="clear" w:color="auto" w:fill="FFFFFF" w:themeFill="background1"/>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C33省级学术论坛</w:t>
            </w:r>
          </w:p>
        </w:tc>
        <w:tc>
          <w:tcPr>
            <w:tcW w:w="1133" w:type="dxa"/>
            <w:shd w:val="clear" w:color="auto" w:fill="FFFFFF" w:themeFill="background1"/>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3分</w:t>
            </w:r>
          </w:p>
        </w:tc>
        <w:tc>
          <w:tcPr>
            <w:tcW w:w="7142"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C33长三角论坛、华东地区论坛、江苏省研究生论坛等属于省级学术论坛。</w:t>
            </w:r>
          </w:p>
        </w:tc>
        <w:tc>
          <w:tcPr>
            <w:tcW w:w="1241" w:type="dxa"/>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C34校级学术论坛</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2分</w:t>
            </w:r>
          </w:p>
        </w:tc>
        <w:tc>
          <w:tcPr>
            <w:tcW w:w="7142" w:type="dxa"/>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C34学校举办、跨学院举办的学术论坛都属于校级学术论坛。</w:t>
            </w:r>
          </w:p>
        </w:tc>
        <w:tc>
          <w:tcPr>
            <w:tcW w:w="1241" w:type="dxa"/>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widowControl/>
              <w:spacing w:line="320" w:lineRule="exact"/>
              <w:rPr>
                <w:rFonts w:ascii="仿宋_GB2312" w:hAnsi="仿宋" w:eastAsia="仿宋_GB2312" w:cs="宋体"/>
                <w:color w:val="auto"/>
                <w:kern w:val="0"/>
                <w:sz w:val="24"/>
              </w:rPr>
            </w:pPr>
            <w:r>
              <w:rPr>
                <w:rFonts w:hint="eastAsia" w:ascii="仿宋_GB2312" w:hAnsi="仿宋" w:eastAsia="仿宋_GB2312"/>
                <w:color w:val="auto"/>
                <w:szCs w:val="21"/>
              </w:rPr>
              <w:t>C35院级学术论坛</w:t>
            </w:r>
          </w:p>
        </w:tc>
        <w:tc>
          <w:tcPr>
            <w:tcW w:w="1133" w:type="dxa"/>
            <w:vAlign w:val="center"/>
          </w:tcPr>
          <w:p>
            <w:pPr>
              <w:widowControl/>
              <w:spacing w:line="320" w:lineRule="exact"/>
              <w:ind w:firstLine="210" w:firstLineChars="100"/>
              <w:rPr>
                <w:rFonts w:ascii="仿宋_GB2312" w:hAnsi="仿宋" w:eastAsia="仿宋_GB2312"/>
                <w:color w:val="auto"/>
                <w:szCs w:val="21"/>
              </w:rPr>
            </w:pPr>
            <w:r>
              <w:rPr>
                <w:rFonts w:hint="eastAsia" w:ascii="仿宋_GB2312" w:hAnsi="仿宋" w:eastAsia="仿宋_GB2312"/>
                <w:color w:val="auto"/>
                <w:szCs w:val="21"/>
              </w:rPr>
              <w:t>1~2分</w:t>
            </w:r>
          </w:p>
        </w:tc>
        <w:tc>
          <w:tcPr>
            <w:tcW w:w="7142" w:type="dxa"/>
            <w:vAlign w:val="center"/>
          </w:tcPr>
          <w:p>
            <w:pPr>
              <w:widowControl/>
              <w:spacing w:line="320" w:lineRule="exact"/>
              <w:rPr>
                <w:rFonts w:ascii="仿宋_GB2312" w:hAnsi="仿宋" w:eastAsia="仿宋_GB2312"/>
                <w:color w:val="auto"/>
                <w:szCs w:val="21"/>
              </w:rPr>
            </w:pPr>
            <w:r>
              <w:rPr>
                <w:rFonts w:hint="eastAsia" w:ascii="仿宋_GB2312" w:hAnsi="仿宋" w:eastAsia="仿宋_GB2312"/>
                <w:color w:val="auto"/>
                <w:szCs w:val="21"/>
              </w:rPr>
              <w:t>C35学院制定标准。</w:t>
            </w:r>
          </w:p>
        </w:tc>
        <w:tc>
          <w:tcPr>
            <w:tcW w:w="1241" w:type="dxa"/>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C4知识产权</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C41授权发明专利</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30分/项</w:t>
            </w:r>
          </w:p>
        </w:tc>
        <w:tc>
          <w:tcPr>
            <w:tcW w:w="8383" w:type="dxa"/>
            <w:gridSpan w:val="2"/>
            <w:vMerge w:val="restart"/>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41~C44须以常州大学为第一申请单位，本人排名第一，或导师排名第一本人排名第二，对于软件著作权其申报联系人须为学生，并附佐证材料；C41、C43需提供专利授权证书，C42需有申请公布号；C41、C42、C43、C44为同一项目的以最高分计；C42、C44学年内最多分别计3项、C43学年内最多计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C42申请发明专利</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3分/项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C43</w:t>
            </w:r>
            <w:r>
              <w:rPr>
                <w:rFonts w:hint="eastAsia" w:eastAsia="仿宋_GB2312"/>
                <w:color w:val="auto"/>
                <w:sz w:val="21"/>
                <w:szCs w:val="21"/>
                <w:lang w:val="en-US" w:eastAsia="zh-CN"/>
              </w:rPr>
              <w:t>公开发明专利或</w:t>
            </w:r>
            <w:r>
              <w:rPr>
                <w:rFonts w:hint="eastAsia" w:ascii="仿宋_GB2312" w:hAnsi="仿宋" w:eastAsia="仿宋_GB2312"/>
                <w:color w:val="auto"/>
                <w:szCs w:val="21"/>
              </w:rPr>
              <w:t>授权实用新型专利</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5分/项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C44软件著作权</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5分/项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C5成果转让</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C51专利转让</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50分/项</w:t>
            </w:r>
          </w:p>
        </w:tc>
        <w:tc>
          <w:tcPr>
            <w:tcW w:w="8383" w:type="dxa"/>
            <w:gridSpan w:val="2"/>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C6科研项目</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C61省立校助</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4分/项</w:t>
            </w:r>
          </w:p>
        </w:tc>
        <w:tc>
          <w:tcPr>
            <w:tcW w:w="8383" w:type="dxa"/>
            <w:gridSpan w:val="2"/>
            <w:vMerge w:val="restart"/>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C62省立院助</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C7科研获奖</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C71国家级</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200分/项</w:t>
            </w:r>
          </w:p>
        </w:tc>
        <w:tc>
          <w:tcPr>
            <w:tcW w:w="8383" w:type="dxa"/>
            <w:gridSpan w:val="2"/>
            <w:vMerge w:val="restart"/>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C71~C73排名前五，且只计除导师外排名第一学生。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C72省部级一等奖</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150分/项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C73省部级二等奖</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80分/项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widowControl/>
              <w:spacing w:line="320" w:lineRule="exact"/>
              <w:rPr>
                <w:rFonts w:ascii="仿宋_GB2312" w:hAnsi="仿宋" w:eastAsia="仿宋_GB2312" w:cs="宋体"/>
                <w:color w:val="auto"/>
                <w:kern w:val="0"/>
                <w:sz w:val="24"/>
              </w:rPr>
            </w:pPr>
            <w:r>
              <w:rPr>
                <w:rFonts w:hint="eastAsia" w:ascii="仿宋_GB2312" w:hAnsi="仿宋" w:eastAsia="仿宋_GB2312"/>
                <w:color w:val="auto"/>
                <w:kern w:val="0"/>
              </w:rPr>
              <w:t>C74</w:t>
            </w:r>
            <w:r>
              <w:rPr>
                <w:rFonts w:hint="eastAsia" w:ascii="仿宋_GB2312" w:hAnsi="仿宋" w:eastAsia="仿宋_GB2312" w:cs="宋体"/>
                <w:color w:val="auto"/>
                <w:kern w:val="0"/>
              </w:rPr>
              <w:t>其它奖项</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5分/项</w:t>
            </w:r>
          </w:p>
        </w:tc>
        <w:tc>
          <w:tcPr>
            <w:tcW w:w="8383" w:type="dxa"/>
            <w:gridSpan w:val="2"/>
            <w:vAlign w:val="center"/>
          </w:tcPr>
          <w:p>
            <w:pPr>
              <w:widowControl/>
              <w:spacing w:line="320" w:lineRule="exact"/>
              <w:rPr>
                <w:rFonts w:ascii="仿宋_GB2312" w:hAnsi="仿宋" w:eastAsia="仿宋_GB2312" w:cs="宋体"/>
                <w:color w:val="auto"/>
                <w:kern w:val="0"/>
                <w:sz w:val="24"/>
              </w:rPr>
            </w:pPr>
            <w:r>
              <w:rPr>
                <w:rFonts w:hint="eastAsia" w:ascii="仿宋_GB2312" w:hAnsi="仿宋" w:eastAsia="仿宋_GB2312"/>
                <w:color w:val="auto"/>
                <w:kern w:val="0"/>
              </w:rPr>
              <w:t>C74</w:t>
            </w:r>
            <w:r>
              <w:rPr>
                <w:rFonts w:hint="eastAsia" w:ascii="仿宋_GB2312" w:hAnsi="仿宋" w:eastAsia="仿宋_GB2312" w:cs="宋体"/>
                <w:color w:val="auto"/>
                <w:kern w:val="0"/>
              </w:rPr>
              <w:t>为学院认可的奖项，且只计除导师外排名第一学生。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D实践能力</w:t>
            </w:r>
          </w:p>
        </w:tc>
        <w:tc>
          <w:tcPr>
            <w:tcW w:w="1627" w:type="dxa"/>
            <w:vMerge w:val="restart"/>
            <w:vAlign w:val="center"/>
          </w:tcPr>
          <w:p>
            <w:pPr>
              <w:spacing w:line="360" w:lineRule="exact"/>
              <w:rPr>
                <w:rFonts w:ascii="仿宋_GB2312" w:hAnsi="仿宋" w:eastAsia="仿宋_GB2312"/>
                <w:color w:val="auto"/>
                <w:sz w:val="24"/>
              </w:rPr>
            </w:pPr>
            <w:r>
              <w:rPr>
                <w:rFonts w:hint="eastAsia" w:ascii="仿宋_GB2312" w:hAnsi="仿宋" w:eastAsia="仿宋_GB2312"/>
                <w:color w:val="auto"/>
                <w:sz w:val="24"/>
              </w:rPr>
              <w:t>D1各类竞赛</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D11 I级甲等</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60分/项</w:t>
            </w:r>
          </w:p>
        </w:tc>
        <w:tc>
          <w:tcPr>
            <w:tcW w:w="8383" w:type="dxa"/>
            <w:gridSpan w:val="2"/>
            <w:vMerge w:val="restart"/>
            <w:vAlign w:val="center"/>
          </w:tcPr>
          <w:p>
            <w:pPr>
              <w:spacing w:line="320" w:lineRule="exact"/>
              <w:rPr>
                <w:rFonts w:ascii="仿宋_GB2312" w:hAnsi="仿宋" w:eastAsia="仿宋_GB2312"/>
                <w:color w:val="auto"/>
                <w:szCs w:val="21"/>
              </w:rPr>
            </w:pPr>
            <w:r>
              <w:rPr>
                <w:rFonts w:hint="eastAsia" w:ascii="仿宋_GB2312" w:hAnsi="仿宋" w:eastAsia="仿宋_GB2312"/>
                <w:b/>
                <w:bCs/>
                <w:color w:val="auto"/>
                <w:szCs w:val="21"/>
              </w:rPr>
              <w:t>奖项等级系数：</w:t>
            </w:r>
            <w:r>
              <w:rPr>
                <w:rFonts w:hint="eastAsia" w:ascii="仿宋_GB2312" w:hAnsi="仿宋" w:eastAsia="仿宋_GB2312"/>
                <w:color w:val="auto"/>
                <w:szCs w:val="21"/>
              </w:rPr>
              <w:t>国赛第一层次为1，第二层次为0.4，第三层次为0.2，其他层次为0.1；</w:t>
            </w:r>
          </w:p>
          <w:p>
            <w:pPr>
              <w:spacing w:line="320" w:lineRule="exact"/>
              <w:rPr>
                <w:rFonts w:hint="eastAsia" w:eastAsia="仿宋_GB2312"/>
                <w:color w:val="auto"/>
                <w:sz w:val="21"/>
                <w:szCs w:val="21"/>
                <w:lang w:val="en-US" w:eastAsia="zh-CN"/>
              </w:rPr>
            </w:pPr>
            <w:r>
              <w:rPr>
                <w:rFonts w:hint="eastAsia" w:ascii="仿宋_GB2312" w:hAnsi="仿宋" w:eastAsia="仿宋_GB2312"/>
                <w:b/>
                <w:bCs/>
                <w:color w:val="auto"/>
                <w:szCs w:val="21"/>
              </w:rPr>
              <w:t>类别系数：</w:t>
            </w:r>
            <w:r>
              <w:rPr>
                <w:rFonts w:hint="eastAsia" w:ascii="仿宋_GB2312" w:hAnsi="仿宋" w:eastAsia="仿宋_GB2312"/>
                <w:color w:val="auto"/>
                <w:szCs w:val="21"/>
              </w:rPr>
              <w:t>个人项目</w:t>
            </w:r>
            <w:r>
              <w:rPr>
                <w:rFonts w:hint="eastAsia" w:ascii="仿宋_GB2312" w:hAnsi="仿宋" w:eastAsia="仿宋_GB2312"/>
                <w:color w:val="auto"/>
                <w:szCs w:val="21"/>
                <w:lang w:val="en-US" w:eastAsia="zh-CN"/>
              </w:rPr>
              <w:t>系数</w:t>
            </w:r>
            <w:r>
              <w:rPr>
                <w:rFonts w:hint="eastAsia" w:ascii="仿宋_GB2312" w:hAnsi="仿宋" w:eastAsia="仿宋_GB2312"/>
                <w:color w:val="auto"/>
                <w:szCs w:val="21"/>
              </w:rPr>
              <w:t>为1</w:t>
            </w:r>
            <w:r>
              <w:rPr>
                <w:rFonts w:hint="eastAsia" w:ascii="仿宋_GB2312" w:hAnsi="仿宋" w:eastAsia="仿宋_GB2312"/>
                <w:color w:val="auto"/>
                <w:szCs w:val="21"/>
                <w:lang w:eastAsia="zh-CN"/>
              </w:rPr>
              <w:t>；</w:t>
            </w:r>
            <w:r>
              <w:rPr>
                <w:rFonts w:hint="eastAsia" w:eastAsia="仿宋_GB2312"/>
                <w:color w:val="auto"/>
                <w:sz w:val="21"/>
                <w:szCs w:val="21"/>
                <w:lang w:val="en-US" w:eastAsia="zh-CN"/>
              </w:rPr>
              <w:t>团体赛项目为2人的，按照证书排名系数分别为0.6、0.4；团体赛项目为3人及以上，按照证书排名前三名的系数分别为0.5、0.3、0.2，第四及以后的系数均为0.1。</w:t>
            </w:r>
          </w:p>
          <w:p>
            <w:pPr>
              <w:spacing w:line="320" w:lineRule="exact"/>
              <w:rPr>
                <w:rFonts w:ascii="仿宋_GB2312" w:hAnsi="仿宋" w:eastAsia="仿宋_GB2312"/>
                <w:color w:val="auto"/>
                <w:szCs w:val="21"/>
              </w:rPr>
            </w:pPr>
            <w:r>
              <w:rPr>
                <w:rFonts w:hint="eastAsia" w:ascii="仿宋_GB2312" w:hAnsi="仿宋" w:eastAsia="仿宋_GB2312"/>
                <w:color w:val="auto"/>
                <w:szCs w:val="21"/>
              </w:rPr>
              <w:t>（竞赛等级参照《常州大学大学生竞赛组织管理办法》常大〔 2020 〕229号 中的规定）</w:t>
            </w:r>
          </w:p>
          <w:p>
            <w:pPr>
              <w:spacing w:line="320" w:lineRule="exact"/>
              <w:rPr>
                <w:rFonts w:hint="default" w:ascii="仿宋_GB2312" w:hAnsi="仿宋" w:eastAsia="仿宋_GB2312"/>
                <w:color w:val="auto"/>
                <w:szCs w:val="21"/>
                <w:lang w:val="en-US" w:eastAsia="zh-CN"/>
              </w:rPr>
            </w:pPr>
            <w:r>
              <w:rPr>
                <w:rFonts w:hint="eastAsia" w:ascii="仿宋_GB2312" w:hAnsi="仿宋" w:eastAsia="仿宋_GB2312"/>
                <w:color w:val="auto"/>
                <w:szCs w:val="21"/>
              </w:rPr>
              <w:t>D14为学院认可的奖励，相关计分系数学院根据实际执行。</w:t>
            </w:r>
            <w:r>
              <w:rPr>
                <w:rFonts w:hint="eastAsia" w:eastAsia="仿宋_GB2312"/>
                <w:color w:val="auto"/>
                <w:sz w:val="21"/>
                <w:szCs w:val="21"/>
                <w:lang w:val="en-US" w:eastAsia="zh-CN"/>
              </w:rPr>
              <w:t>国家学位办、教育部主办的竞赛视同D12，省学位办、教育厅主办的竞赛视同D13。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D12 I级乙等</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40分/项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D13 I级丙等</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20分/项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60" w:lineRule="exact"/>
              <w:rPr>
                <w:rFonts w:ascii="仿宋_GB2312" w:hAnsi="仿宋" w:eastAsia="仿宋_GB2312"/>
                <w:color w:val="auto"/>
                <w:sz w:val="24"/>
              </w:rPr>
            </w:pPr>
          </w:p>
        </w:tc>
        <w:tc>
          <w:tcPr>
            <w:tcW w:w="1627" w:type="dxa"/>
            <w:vMerge w:val="continue"/>
            <w:vAlign w:val="center"/>
          </w:tcPr>
          <w:p>
            <w:pPr>
              <w:spacing w:line="360" w:lineRule="exact"/>
              <w:rPr>
                <w:rFonts w:ascii="仿宋_GB2312" w:hAnsi="仿宋" w:eastAsia="仿宋_GB2312"/>
                <w:color w:val="auto"/>
                <w:sz w:val="24"/>
              </w:rPr>
            </w:pP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D14其他奖项</w:t>
            </w:r>
          </w:p>
        </w:tc>
        <w:tc>
          <w:tcPr>
            <w:tcW w:w="1133" w:type="dxa"/>
            <w:vAlign w:val="center"/>
          </w:tcPr>
          <w:p>
            <w:pPr>
              <w:spacing w:line="320" w:lineRule="exact"/>
              <w:jc w:val="center"/>
              <w:rPr>
                <w:rFonts w:ascii="仿宋_GB2312" w:hAnsi="仿宋" w:eastAsia="仿宋_GB2312"/>
                <w:color w:val="auto"/>
                <w:szCs w:val="21"/>
              </w:rPr>
            </w:pPr>
            <w:r>
              <w:rPr>
                <w:rFonts w:hint="eastAsia" w:ascii="仿宋_GB2312" w:hAnsi="仿宋" w:eastAsia="仿宋_GB2312"/>
                <w:color w:val="auto"/>
                <w:szCs w:val="21"/>
              </w:rPr>
              <w:t>10分/项</w:t>
            </w:r>
          </w:p>
        </w:tc>
        <w:tc>
          <w:tcPr>
            <w:tcW w:w="8383" w:type="dxa"/>
            <w:gridSpan w:val="2"/>
            <w:vMerge w:val="continue"/>
            <w:vAlign w:val="center"/>
          </w:tcPr>
          <w:p>
            <w:pPr>
              <w:spacing w:line="32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20" w:lineRule="exact"/>
              <w:rPr>
                <w:rFonts w:ascii="仿宋_GB2312" w:hAnsi="仿宋" w:eastAsia="仿宋_GB2312"/>
                <w:color w:val="auto"/>
                <w:szCs w:val="21"/>
              </w:rPr>
            </w:pPr>
          </w:p>
        </w:tc>
        <w:tc>
          <w:tcPr>
            <w:tcW w:w="1627" w:type="dxa"/>
            <w:vMerge w:val="restart"/>
            <w:vAlign w:val="center"/>
          </w:tcPr>
          <w:p>
            <w:pPr>
              <w:spacing w:line="360" w:lineRule="exact"/>
              <w:rPr>
                <w:rFonts w:ascii="仿宋_GB2312" w:hAnsi="仿宋" w:eastAsia="仿宋_GB2312"/>
                <w:color w:val="auto"/>
                <w:szCs w:val="21"/>
              </w:rPr>
            </w:pPr>
            <w:r>
              <w:rPr>
                <w:rFonts w:hint="eastAsia" w:ascii="仿宋_GB2312" w:hAnsi="仿宋" w:eastAsia="仿宋_GB2312"/>
                <w:color w:val="auto"/>
                <w:sz w:val="24"/>
              </w:rPr>
              <w:t>D2普通作品</w:t>
            </w:r>
          </w:p>
        </w:tc>
        <w:tc>
          <w:tcPr>
            <w:tcW w:w="2279" w:type="dxa"/>
            <w:gridSpan w:val="3"/>
            <w:vAlign w:val="center"/>
          </w:tcPr>
          <w:p>
            <w:pPr>
              <w:spacing w:line="320" w:lineRule="exact"/>
              <w:rPr>
                <w:rFonts w:ascii="仿宋_GB2312" w:hAnsi="仿宋" w:eastAsia="仿宋_GB2312"/>
                <w:color w:val="auto"/>
                <w:szCs w:val="21"/>
              </w:rPr>
            </w:pPr>
            <w:r>
              <w:rPr>
                <w:rFonts w:hint="eastAsia" w:ascii="仿宋_GB2312" w:hAnsi="仿宋" w:eastAsia="仿宋_GB2312"/>
                <w:color w:val="auto"/>
                <w:szCs w:val="21"/>
              </w:rPr>
              <w:t>D21中国研究生</w:t>
            </w:r>
          </w:p>
        </w:tc>
        <w:tc>
          <w:tcPr>
            <w:tcW w:w="1133" w:type="dxa"/>
            <w:vAlign w:val="center"/>
          </w:tcPr>
          <w:p>
            <w:pPr>
              <w:spacing w:line="320" w:lineRule="exact"/>
              <w:ind w:firstLine="210" w:firstLineChars="100"/>
              <w:rPr>
                <w:rFonts w:ascii="仿宋_GB2312" w:hAnsi="仿宋" w:eastAsia="仿宋_GB2312"/>
                <w:color w:val="auto"/>
                <w:szCs w:val="21"/>
              </w:rPr>
            </w:pPr>
            <w:r>
              <w:rPr>
                <w:rFonts w:hint="eastAsia" w:ascii="仿宋_GB2312" w:hAnsi="仿宋" w:eastAsia="仿宋_GB2312"/>
                <w:color w:val="auto"/>
                <w:szCs w:val="21"/>
              </w:rPr>
              <w:t>3分/篇</w:t>
            </w:r>
          </w:p>
        </w:tc>
        <w:tc>
          <w:tcPr>
            <w:tcW w:w="8383" w:type="dxa"/>
            <w:gridSpan w:val="2"/>
            <w:vMerge w:val="restart"/>
            <w:vAlign w:val="center"/>
          </w:tcPr>
          <w:p>
            <w:pPr>
              <w:spacing w:line="320" w:lineRule="exact"/>
              <w:rPr>
                <w:rFonts w:hint="eastAsia" w:ascii="仿宋_GB2312" w:hAnsi="仿宋" w:eastAsia="仿宋_GB2312"/>
                <w:color w:val="auto"/>
                <w:szCs w:val="21"/>
              </w:rPr>
            </w:pPr>
            <w:r>
              <w:rPr>
                <w:rFonts w:hint="eastAsia" w:ascii="仿宋_GB2312" w:hAnsi="仿宋" w:eastAsia="仿宋_GB2312"/>
                <w:color w:val="auto"/>
                <w:szCs w:val="21"/>
              </w:rPr>
              <w:t>D21项限2篇，D22项限在校级以上报刊、媒体上发布通讯报道，限5篇（不重复计分）。</w:t>
            </w:r>
          </w:p>
          <w:p>
            <w:pPr>
              <w:spacing w:line="320" w:lineRule="exact"/>
              <w:rPr>
                <w:rFonts w:hint="eastAsia" w:ascii="仿宋_GB2312" w:hAnsi="仿宋" w:eastAsia="仿宋_GB2312"/>
                <w:color w:val="auto"/>
                <w:szCs w:val="21"/>
              </w:rPr>
            </w:pPr>
            <w:r>
              <w:rPr>
                <w:rFonts w:hint="eastAsia" w:eastAsia="仿宋_GB2312"/>
                <w:color w:val="auto"/>
                <w:sz w:val="21"/>
                <w:szCs w:val="21"/>
                <w:lang w:val="en-US" w:eastAsia="zh-CN"/>
              </w:rPr>
              <w:t>长期为学院提供新闻报道、公众号稿件的，每两篇折合一篇校级稿件，最高分2分。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vMerge w:val="continue"/>
            <w:vAlign w:val="center"/>
          </w:tcPr>
          <w:p>
            <w:pPr>
              <w:spacing w:line="320" w:lineRule="exact"/>
              <w:rPr>
                <w:rFonts w:eastAsia="仿宋_GB2312"/>
                <w:color w:val="auto"/>
                <w:szCs w:val="21"/>
              </w:rPr>
            </w:pPr>
          </w:p>
        </w:tc>
        <w:tc>
          <w:tcPr>
            <w:tcW w:w="1627" w:type="dxa"/>
            <w:vMerge w:val="continue"/>
            <w:vAlign w:val="center"/>
          </w:tcPr>
          <w:p>
            <w:pPr>
              <w:spacing w:line="320" w:lineRule="exact"/>
              <w:rPr>
                <w:rFonts w:eastAsia="仿宋_GB2312"/>
                <w:color w:val="auto"/>
                <w:szCs w:val="21"/>
              </w:rPr>
            </w:pPr>
          </w:p>
        </w:tc>
        <w:tc>
          <w:tcPr>
            <w:tcW w:w="2279" w:type="dxa"/>
            <w:gridSpan w:val="3"/>
            <w:vAlign w:val="center"/>
          </w:tcPr>
          <w:p>
            <w:pPr>
              <w:spacing w:line="320" w:lineRule="exact"/>
              <w:rPr>
                <w:rFonts w:eastAsia="仿宋_GB2312"/>
                <w:color w:val="auto"/>
                <w:szCs w:val="21"/>
              </w:rPr>
            </w:pPr>
            <w:r>
              <w:rPr>
                <w:rFonts w:eastAsia="仿宋_GB2312"/>
                <w:color w:val="auto"/>
                <w:szCs w:val="21"/>
              </w:rPr>
              <w:t>D2</w:t>
            </w:r>
            <w:r>
              <w:rPr>
                <w:rFonts w:hint="eastAsia" w:eastAsia="仿宋_GB2312"/>
                <w:color w:val="auto"/>
                <w:szCs w:val="21"/>
              </w:rPr>
              <w:t>2</w:t>
            </w:r>
            <w:r>
              <w:rPr>
                <w:rFonts w:eastAsia="仿宋_GB2312"/>
                <w:color w:val="auto"/>
                <w:szCs w:val="21"/>
              </w:rPr>
              <w:t xml:space="preserve"> </w:t>
            </w:r>
            <w:r>
              <w:rPr>
                <w:rFonts w:hint="eastAsia" w:eastAsia="仿宋_GB2312"/>
                <w:color w:val="auto"/>
                <w:szCs w:val="21"/>
              </w:rPr>
              <w:t>其他报刊、媒体</w:t>
            </w:r>
            <w:r>
              <w:rPr>
                <w:rFonts w:eastAsia="仿宋_GB2312"/>
                <w:color w:val="auto"/>
                <w:szCs w:val="21"/>
              </w:rPr>
              <w:t xml:space="preserve"> </w:t>
            </w:r>
          </w:p>
        </w:tc>
        <w:tc>
          <w:tcPr>
            <w:tcW w:w="1133" w:type="dxa"/>
            <w:vAlign w:val="center"/>
          </w:tcPr>
          <w:p>
            <w:pPr>
              <w:spacing w:line="320" w:lineRule="exact"/>
              <w:ind w:firstLine="210" w:firstLineChars="100"/>
              <w:rPr>
                <w:rFonts w:eastAsia="仿宋_GB2312"/>
                <w:color w:val="auto"/>
                <w:szCs w:val="21"/>
              </w:rPr>
            </w:pPr>
            <w:r>
              <w:rPr>
                <w:rFonts w:eastAsia="仿宋_GB2312"/>
                <w:color w:val="auto"/>
                <w:szCs w:val="21"/>
              </w:rPr>
              <w:t>1</w:t>
            </w:r>
            <w:r>
              <w:rPr>
                <w:rFonts w:hint="eastAsia" w:eastAsia="仿宋_GB2312"/>
                <w:color w:val="auto"/>
                <w:szCs w:val="21"/>
              </w:rPr>
              <w:t>分/篇</w:t>
            </w:r>
          </w:p>
        </w:tc>
        <w:tc>
          <w:tcPr>
            <w:tcW w:w="8383" w:type="dxa"/>
            <w:gridSpan w:val="2"/>
            <w:vMerge w:val="continue"/>
            <w:vAlign w:val="center"/>
          </w:tcPr>
          <w:p>
            <w:pPr>
              <w:spacing w:line="320" w:lineRule="exact"/>
              <w:rPr>
                <w:rFonts w:eastAsia="仿宋_GB2312"/>
                <w:color w:val="auto"/>
                <w:szCs w:val="21"/>
              </w:rPr>
            </w:pPr>
          </w:p>
        </w:tc>
      </w:tr>
    </w:tbl>
    <w:p>
      <w:pPr>
        <w:spacing w:line="320" w:lineRule="exact"/>
        <w:rPr>
          <w:rFonts w:ascii="仿宋" w:hAnsi="仿宋" w:eastAsia="仿宋"/>
          <w:szCs w:val="21"/>
        </w:rPr>
      </w:pPr>
    </w:p>
    <w:p>
      <w:pPr>
        <w:spacing w:line="320" w:lineRule="exact"/>
        <w:rPr>
          <w:rFonts w:ascii="仿宋" w:hAnsi="仿宋" w:eastAsia="仿宋"/>
          <w:szCs w:val="21"/>
        </w:rPr>
      </w:pPr>
      <w:r>
        <w:rPr>
          <w:rFonts w:ascii="仿宋" w:hAnsi="仿宋" w:eastAsia="仿宋"/>
          <w:szCs w:val="21"/>
        </w:rPr>
        <w:t xml:space="preserve">说明： </w:t>
      </w:r>
    </w:p>
    <w:p>
      <w:pPr>
        <w:widowControl/>
        <w:spacing w:line="360" w:lineRule="exact"/>
        <w:rPr>
          <w:rFonts w:ascii="仿宋" w:hAnsi="仿宋" w:eastAsia="仿宋" w:cs="宋体"/>
          <w:color w:val="auto"/>
          <w:kern w:val="0"/>
          <w:szCs w:val="21"/>
        </w:rPr>
      </w:pPr>
      <w:r>
        <w:rPr>
          <w:rFonts w:hint="eastAsia" w:ascii="仿宋" w:hAnsi="仿宋" w:eastAsia="仿宋" w:cs="宋体"/>
          <w:kern w:val="0"/>
          <w:szCs w:val="21"/>
        </w:rPr>
        <w:t>（</w:t>
      </w:r>
      <w:r>
        <w:rPr>
          <w:rFonts w:ascii="仿宋" w:hAnsi="仿宋" w:eastAsia="仿宋"/>
          <w:kern w:val="0"/>
          <w:szCs w:val="21"/>
        </w:rPr>
        <w:t>1</w:t>
      </w:r>
      <w:r>
        <w:rPr>
          <w:rFonts w:hint="eastAsia" w:ascii="仿宋" w:hAnsi="仿宋" w:eastAsia="仿宋" w:cs="宋体"/>
          <w:kern w:val="0"/>
          <w:szCs w:val="21"/>
        </w:rPr>
        <w:t>）计分方法：综合评</w:t>
      </w:r>
      <w:r>
        <w:rPr>
          <w:rFonts w:hint="eastAsia" w:ascii="仿宋" w:hAnsi="仿宋" w:eastAsia="仿宋" w:cs="宋体"/>
          <w:color w:val="auto"/>
          <w:kern w:val="0"/>
          <w:szCs w:val="21"/>
        </w:rPr>
        <w:t>定分</w:t>
      </w:r>
      <w:r>
        <w:rPr>
          <w:rFonts w:ascii="仿宋" w:hAnsi="仿宋" w:eastAsia="仿宋" w:cs="宋体"/>
          <w:color w:val="auto"/>
          <w:kern w:val="0"/>
          <w:szCs w:val="21"/>
        </w:rPr>
        <w:t>=</w:t>
      </w:r>
      <w:r>
        <w:rPr>
          <w:rFonts w:hint="eastAsia" w:ascii="仿宋" w:hAnsi="仿宋" w:eastAsia="仿宋" w:cs="宋体"/>
          <w:color w:val="auto"/>
          <w:kern w:val="0"/>
          <w:szCs w:val="21"/>
        </w:rPr>
        <w:t>思想品德</w:t>
      </w:r>
      <w:r>
        <w:rPr>
          <w:rFonts w:ascii="仿宋" w:hAnsi="仿宋" w:eastAsia="仿宋" w:cs="宋体"/>
          <w:color w:val="auto"/>
          <w:kern w:val="0"/>
          <w:szCs w:val="21"/>
        </w:rPr>
        <w:t>分+学</w:t>
      </w:r>
      <w:r>
        <w:rPr>
          <w:rFonts w:hint="eastAsia" w:ascii="仿宋" w:hAnsi="仿宋" w:eastAsia="仿宋" w:cs="宋体"/>
          <w:color w:val="auto"/>
          <w:kern w:val="0"/>
          <w:szCs w:val="21"/>
        </w:rPr>
        <w:t>业成绩</w:t>
      </w:r>
      <w:r>
        <w:rPr>
          <w:rFonts w:ascii="仿宋" w:hAnsi="仿宋" w:eastAsia="仿宋" w:cs="宋体"/>
          <w:color w:val="auto"/>
          <w:kern w:val="0"/>
          <w:szCs w:val="21"/>
        </w:rPr>
        <w:t>分+科研</w:t>
      </w:r>
      <w:r>
        <w:rPr>
          <w:rFonts w:hint="eastAsia" w:ascii="仿宋" w:hAnsi="仿宋" w:eastAsia="仿宋" w:cs="宋体"/>
          <w:color w:val="auto"/>
          <w:kern w:val="0"/>
          <w:szCs w:val="21"/>
        </w:rPr>
        <w:t>能力</w:t>
      </w:r>
      <w:r>
        <w:rPr>
          <w:rFonts w:ascii="仿宋" w:hAnsi="仿宋" w:eastAsia="仿宋" w:cs="宋体"/>
          <w:color w:val="auto"/>
          <w:kern w:val="0"/>
          <w:szCs w:val="21"/>
        </w:rPr>
        <w:t>分</w:t>
      </w:r>
      <w:r>
        <w:rPr>
          <w:rFonts w:hint="eastAsia" w:ascii="仿宋" w:hAnsi="仿宋" w:eastAsia="仿宋" w:cs="宋体"/>
          <w:color w:val="auto"/>
          <w:kern w:val="0"/>
          <w:szCs w:val="21"/>
        </w:rPr>
        <w:t>+实践能力分</w:t>
      </w:r>
      <w:r>
        <w:rPr>
          <w:rFonts w:hint="eastAsia" w:eastAsia="仿宋_GB2312"/>
          <w:color w:val="auto"/>
          <w:sz w:val="21"/>
          <w:szCs w:val="21"/>
        </w:rPr>
        <w:t>。</w:t>
      </w:r>
      <w:r>
        <w:rPr>
          <w:rFonts w:hint="eastAsia" w:ascii="仿宋" w:hAnsi="仿宋" w:eastAsia="仿宋" w:cs="宋体"/>
          <w:color w:val="auto"/>
          <w:kern w:val="0"/>
          <w:szCs w:val="21"/>
        </w:rPr>
        <w:t>在总分相同的情况下，C项得分高者优先。</w:t>
      </w:r>
    </w:p>
    <w:p>
      <w:pPr>
        <w:widowControl/>
        <w:spacing w:line="360" w:lineRule="exact"/>
        <w:rPr>
          <w:rFonts w:ascii="仿宋" w:hAnsi="仿宋" w:eastAsia="仿宋" w:cs="宋体"/>
          <w:color w:val="auto"/>
          <w:kern w:val="0"/>
          <w:szCs w:val="21"/>
        </w:rPr>
      </w:pPr>
      <w:r>
        <w:rPr>
          <w:rFonts w:hint="eastAsia" w:ascii="仿宋" w:hAnsi="仿宋" w:eastAsia="仿宋" w:cs="宋体"/>
          <w:color w:val="auto"/>
          <w:kern w:val="0"/>
          <w:szCs w:val="21"/>
        </w:rPr>
        <w:t>（</w:t>
      </w:r>
      <w:r>
        <w:rPr>
          <w:rFonts w:ascii="仿宋" w:hAnsi="仿宋" w:eastAsia="仿宋"/>
          <w:color w:val="auto"/>
          <w:kern w:val="0"/>
          <w:szCs w:val="21"/>
        </w:rPr>
        <w:t>2</w:t>
      </w:r>
      <w:r>
        <w:rPr>
          <w:rFonts w:hint="eastAsia" w:ascii="仿宋" w:hAnsi="仿宋" w:eastAsia="仿宋" w:cs="宋体"/>
          <w:color w:val="auto"/>
          <w:kern w:val="0"/>
          <w:szCs w:val="21"/>
        </w:rPr>
        <w:t>）计分依据：细则内每项成果须为评奖学年内（</w:t>
      </w:r>
      <w:r>
        <w:rPr>
          <w:rFonts w:hint="eastAsia" w:eastAsia="仿宋_GB2312"/>
          <w:color w:val="auto"/>
          <w:sz w:val="21"/>
          <w:szCs w:val="21"/>
          <w:lang w:val="en-US" w:eastAsia="zh-CN"/>
        </w:rPr>
        <w:t>自上一年综合评定成果截止时间至评定当年成果截止时间之间。</w:t>
      </w:r>
      <w:r>
        <w:rPr>
          <w:rFonts w:hint="eastAsia" w:ascii="仿宋" w:hAnsi="仿宋" w:eastAsia="仿宋" w:cs="宋体"/>
          <w:color w:val="auto"/>
          <w:kern w:val="0"/>
          <w:szCs w:val="21"/>
        </w:rPr>
        <w:t>）取得的成果，对于成果认定以证书或发表时间为准。</w:t>
      </w:r>
      <w:r>
        <w:rPr>
          <w:rFonts w:hint="eastAsia" w:eastAsia="仿宋_GB2312"/>
          <w:color w:val="auto"/>
          <w:sz w:val="21"/>
          <w:szCs w:val="21"/>
          <w:lang w:eastAsia="zh-CN"/>
        </w:rPr>
        <w:t>（</w:t>
      </w:r>
      <w:r>
        <w:rPr>
          <w:rFonts w:hint="eastAsia" w:eastAsia="仿宋_GB2312"/>
          <w:color w:val="auto"/>
          <w:sz w:val="21"/>
          <w:szCs w:val="21"/>
          <w:lang w:val="en-US" w:eastAsia="zh-CN"/>
        </w:rPr>
        <w:t>本规定自2021-2022学年起使用，2021年度细则内每项成果可为该生自入学报到以来获得并在往年评奖评优中未使用的成果）论文须以正式见刊或ONLINE为准，</w:t>
      </w:r>
      <w:r>
        <w:rPr>
          <w:rFonts w:hint="eastAsia" w:eastAsia="仿宋_GB2312"/>
          <w:color w:val="auto"/>
          <w:sz w:val="21"/>
          <w:szCs w:val="21"/>
        </w:rPr>
        <w:t>仅有录用通知不计分</w:t>
      </w:r>
      <w:r>
        <w:rPr>
          <w:rFonts w:hint="eastAsia" w:eastAsia="仿宋_GB2312"/>
          <w:color w:val="auto"/>
          <w:sz w:val="21"/>
          <w:szCs w:val="21"/>
          <w:lang w:eastAsia="zh-CN"/>
        </w:rPr>
        <w:t>，</w:t>
      </w:r>
      <w:r>
        <w:rPr>
          <w:rFonts w:hint="eastAsia" w:ascii="仿宋" w:hAnsi="仿宋" w:eastAsia="仿宋" w:cs="宋体"/>
          <w:color w:val="auto"/>
          <w:kern w:val="0"/>
          <w:szCs w:val="21"/>
        </w:rPr>
        <w:t>收录情况须出具检索证明</w:t>
      </w:r>
      <w:r>
        <w:rPr>
          <w:rFonts w:hint="eastAsia" w:ascii="仿宋" w:hAnsi="仿宋" w:eastAsia="仿宋" w:cs="宋体"/>
          <w:color w:val="auto"/>
          <w:kern w:val="0"/>
          <w:szCs w:val="21"/>
          <w:lang w:eastAsia="zh-CN"/>
        </w:rPr>
        <w:t>，</w:t>
      </w:r>
      <w:r>
        <w:rPr>
          <w:rFonts w:hint="eastAsia" w:eastAsia="仿宋_GB2312"/>
          <w:color w:val="auto"/>
          <w:sz w:val="21"/>
          <w:szCs w:val="21"/>
        </w:rPr>
        <w:t>SCI分区以</w:t>
      </w:r>
      <w:r>
        <w:rPr>
          <w:rFonts w:hint="eastAsia" w:eastAsia="仿宋_GB2312"/>
          <w:color w:val="auto"/>
          <w:sz w:val="21"/>
          <w:szCs w:val="21"/>
          <w:lang w:val="en-US" w:eastAsia="zh-CN"/>
        </w:rPr>
        <w:t>测评当年</w:t>
      </w:r>
      <w:r>
        <w:rPr>
          <w:rFonts w:hint="eastAsia" w:eastAsia="仿宋_GB2312"/>
          <w:color w:val="auto"/>
          <w:sz w:val="21"/>
          <w:szCs w:val="21"/>
        </w:rPr>
        <w:t>中科院</w:t>
      </w:r>
      <w:r>
        <w:rPr>
          <w:rFonts w:hint="eastAsia" w:eastAsia="仿宋_GB2312"/>
          <w:color w:val="auto"/>
          <w:sz w:val="21"/>
          <w:szCs w:val="21"/>
          <w:lang w:val="en-US" w:eastAsia="zh-CN"/>
        </w:rPr>
        <w:t>最新</w:t>
      </w:r>
      <w:r>
        <w:rPr>
          <w:rFonts w:hint="eastAsia" w:eastAsia="仿宋_GB2312"/>
          <w:color w:val="auto"/>
          <w:sz w:val="21"/>
          <w:szCs w:val="21"/>
        </w:rPr>
        <w:t>基础版</w:t>
      </w:r>
      <w:r>
        <w:rPr>
          <w:rFonts w:hint="eastAsia" w:eastAsia="仿宋_GB2312"/>
          <w:color w:val="auto"/>
          <w:sz w:val="21"/>
          <w:szCs w:val="21"/>
          <w:lang w:val="en-US" w:eastAsia="zh-CN"/>
        </w:rPr>
        <w:t>(大类分区）</w:t>
      </w:r>
      <w:r>
        <w:rPr>
          <w:rFonts w:hint="eastAsia" w:eastAsia="仿宋_GB2312"/>
          <w:color w:val="auto"/>
          <w:sz w:val="21"/>
          <w:szCs w:val="21"/>
        </w:rPr>
        <w:t>为准</w:t>
      </w:r>
      <w:r>
        <w:rPr>
          <w:rFonts w:hint="eastAsia" w:eastAsia="仿宋_GB2312"/>
          <w:color w:val="auto"/>
          <w:sz w:val="21"/>
          <w:szCs w:val="21"/>
          <w:lang w:eastAsia="zh-CN"/>
        </w:rPr>
        <w:t>，境内</w:t>
      </w:r>
      <w:r>
        <w:rPr>
          <w:rFonts w:hint="eastAsia" w:eastAsia="仿宋_GB2312"/>
          <w:color w:val="auto"/>
          <w:sz w:val="21"/>
          <w:szCs w:val="21"/>
          <w:lang w:val="en-US" w:eastAsia="zh-CN"/>
        </w:rPr>
        <w:t>SCI期刊论文分值乘以系数1.1</w:t>
      </w:r>
      <w:r>
        <w:rPr>
          <w:rFonts w:hint="eastAsia" w:eastAsia="仿宋_GB2312"/>
          <w:color w:val="auto"/>
          <w:sz w:val="21"/>
          <w:szCs w:val="21"/>
        </w:rPr>
        <w:t>。</w:t>
      </w:r>
    </w:p>
    <w:p>
      <w:pPr>
        <w:widowControl/>
        <w:spacing w:line="360" w:lineRule="exact"/>
        <w:rPr>
          <w:rFonts w:ascii="仿宋" w:hAnsi="仿宋" w:eastAsia="仿宋" w:cs="宋体"/>
          <w:color w:val="auto"/>
          <w:kern w:val="0"/>
          <w:szCs w:val="21"/>
        </w:rPr>
      </w:pPr>
      <w:r>
        <w:rPr>
          <w:rFonts w:hint="eastAsia" w:ascii="仿宋" w:hAnsi="仿宋" w:eastAsia="仿宋" w:cs="宋体"/>
          <w:color w:val="auto"/>
          <w:kern w:val="0"/>
          <w:szCs w:val="21"/>
        </w:rPr>
        <w:t>（</w:t>
      </w:r>
      <w:r>
        <w:rPr>
          <w:rFonts w:ascii="仿宋" w:hAnsi="仿宋" w:eastAsia="仿宋" w:cs="宋体"/>
          <w:color w:val="auto"/>
          <w:kern w:val="0"/>
          <w:szCs w:val="21"/>
        </w:rPr>
        <w:t>3</w:t>
      </w:r>
      <w:r>
        <w:rPr>
          <w:rFonts w:hint="eastAsia" w:ascii="仿宋" w:hAnsi="仿宋" w:eastAsia="仿宋" w:cs="宋体"/>
          <w:color w:val="auto"/>
          <w:kern w:val="0"/>
          <w:szCs w:val="21"/>
        </w:rPr>
        <w:t>）论文计分原则：</w:t>
      </w:r>
      <w:r>
        <w:rPr>
          <w:rFonts w:ascii="仿宋" w:hAnsi="仿宋" w:eastAsia="仿宋" w:cs="宋体"/>
          <w:color w:val="auto"/>
          <w:kern w:val="0"/>
          <w:szCs w:val="21"/>
        </w:rPr>
        <w:t>论文若被《新华文摘》《人大复印资料》全文转</w:t>
      </w:r>
      <w:r>
        <w:rPr>
          <w:rFonts w:hint="eastAsia" w:ascii="仿宋" w:hAnsi="仿宋" w:eastAsia="仿宋" w:cs="宋体"/>
          <w:color w:val="auto"/>
          <w:kern w:val="0"/>
          <w:szCs w:val="21"/>
        </w:rPr>
        <w:t>载</w:t>
      </w:r>
      <w:r>
        <w:rPr>
          <w:rFonts w:ascii="仿宋" w:hAnsi="仿宋" w:eastAsia="仿宋" w:cs="宋体"/>
          <w:color w:val="auto"/>
          <w:kern w:val="0"/>
          <w:szCs w:val="21"/>
        </w:rPr>
        <w:t>，转</w:t>
      </w:r>
      <w:r>
        <w:rPr>
          <w:rFonts w:hint="eastAsia" w:ascii="仿宋" w:hAnsi="仿宋" w:eastAsia="仿宋" w:cs="宋体"/>
          <w:color w:val="auto"/>
          <w:kern w:val="0"/>
          <w:szCs w:val="21"/>
        </w:rPr>
        <w:t>载</w:t>
      </w:r>
      <w:r>
        <w:rPr>
          <w:rFonts w:ascii="仿宋" w:hAnsi="仿宋" w:eastAsia="仿宋" w:cs="宋体"/>
          <w:color w:val="auto"/>
          <w:kern w:val="0"/>
          <w:szCs w:val="21"/>
        </w:rPr>
        <w:t>前已用于上一轮申报并获得奖励，则本次申报须扣除上次</w:t>
      </w:r>
      <w:r>
        <w:rPr>
          <w:rFonts w:hint="eastAsia" w:ascii="仿宋" w:hAnsi="仿宋" w:eastAsia="仿宋" w:cs="宋体"/>
          <w:color w:val="auto"/>
          <w:kern w:val="0"/>
          <w:szCs w:val="21"/>
        </w:rPr>
        <w:t>已用</w:t>
      </w:r>
      <w:r>
        <w:rPr>
          <w:rFonts w:ascii="仿宋" w:hAnsi="仿宋" w:eastAsia="仿宋" w:cs="宋体"/>
          <w:color w:val="auto"/>
          <w:kern w:val="0"/>
          <w:szCs w:val="21"/>
        </w:rPr>
        <w:t>分值；若成果具备多重性质，以最高分计，不累计；</w:t>
      </w:r>
      <w:r>
        <w:rPr>
          <w:rFonts w:hint="eastAsia" w:ascii="仿宋" w:hAnsi="仿宋" w:eastAsia="仿宋" w:cs="宋体"/>
          <w:color w:val="auto"/>
          <w:kern w:val="0"/>
          <w:szCs w:val="21"/>
        </w:rPr>
        <w:t>以第一作者（仅指物理排位第一，不含共同第一作者）正式发表的学术论文，导师为第一作者且学生为第二作者的论文按50%计，成果须与学位论文研究内容相关</w:t>
      </w:r>
      <w:r>
        <w:rPr>
          <w:rFonts w:ascii="仿宋" w:hAnsi="仿宋" w:eastAsia="仿宋" w:cs="宋体"/>
          <w:color w:val="auto"/>
          <w:kern w:val="0"/>
          <w:szCs w:val="21"/>
        </w:rPr>
        <w:t>；以常州大学为第一署名单位，若为SCI论文，同时须以常州大学为通讯作者单位（中外合作培养、联合培养除外）</w:t>
      </w:r>
      <w:r>
        <w:rPr>
          <w:rFonts w:hint="eastAsia" w:ascii="仿宋" w:hAnsi="仿宋" w:eastAsia="仿宋" w:cs="宋体"/>
          <w:color w:val="auto"/>
          <w:kern w:val="0"/>
          <w:szCs w:val="21"/>
        </w:rPr>
        <w:t>。</w:t>
      </w:r>
      <w:r>
        <w:rPr>
          <w:rFonts w:ascii="仿宋" w:hAnsi="仿宋" w:eastAsia="仿宋" w:cs="宋体"/>
          <w:color w:val="auto"/>
          <w:kern w:val="0"/>
          <w:szCs w:val="21"/>
        </w:rPr>
        <w:t xml:space="preserve"> </w:t>
      </w:r>
    </w:p>
    <w:p>
      <w:pPr>
        <w:widowControl/>
        <w:spacing w:line="400" w:lineRule="atLeast"/>
        <w:rPr>
          <w:rFonts w:ascii="仿宋" w:hAnsi="仿宋" w:eastAsia="仿宋" w:cs="宋体"/>
          <w:color w:val="auto"/>
          <w:kern w:val="0"/>
          <w:szCs w:val="21"/>
        </w:rPr>
      </w:pPr>
      <w:r>
        <w:rPr>
          <w:rFonts w:hint="eastAsia" w:ascii="仿宋" w:hAnsi="仿宋" w:eastAsia="仿宋" w:cs="宋体"/>
          <w:color w:val="auto"/>
          <w:kern w:val="0"/>
          <w:szCs w:val="21"/>
        </w:rPr>
        <w:t>（4）C科研能力所取得成果认定根据学校相关部门科研评价政策的变化而相应调整</w:t>
      </w:r>
      <w:r>
        <w:rPr>
          <w:rFonts w:hint="eastAsia" w:ascii="仿宋" w:hAnsi="仿宋" w:eastAsia="仿宋"/>
          <w:color w:val="auto"/>
          <w:szCs w:val="21"/>
        </w:rPr>
        <w:t>。</w:t>
      </w:r>
    </w:p>
    <w:p>
      <w:pPr>
        <w:widowControl/>
        <w:spacing w:line="360" w:lineRule="exact"/>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w:t>
      </w:r>
      <w:r>
        <w:rPr>
          <w:rFonts w:ascii="仿宋" w:hAnsi="仿宋" w:eastAsia="仿宋" w:cs="宋体"/>
          <w:color w:val="auto"/>
          <w:kern w:val="0"/>
          <w:szCs w:val="21"/>
        </w:rPr>
        <w:t>5</w:t>
      </w:r>
      <w:r>
        <w:rPr>
          <w:rFonts w:hint="eastAsia" w:ascii="仿宋" w:hAnsi="仿宋" w:eastAsia="仿宋" w:cs="宋体"/>
          <w:color w:val="auto"/>
          <w:kern w:val="0"/>
          <w:szCs w:val="21"/>
        </w:rPr>
        <w:t>）A</w:t>
      </w:r>
      <w:r>
        <w:rPr>
          <w:rFonts w:ascii="仿宋" w:hAnsi="仿宋" w:eastAsia="仿宋" w:cs="宋体"/>
          <w:color w:val="auto"/>
          <w:kern w:val="0"/>
          <w:szCs w:val="21"/>
        </w:rPr>
        <w:t>2</w:t>
      </w:r>
      <w:r>
        <w:rPr>
          <w:rFonts w:hint="eastAsia" w:ascii="仿宋" w:hAnsi="仿宋" w:eastAsia="仿宋" w:cs="宋体"/>
          <w:color w:val="auto"/>
          <w:kern w:val="0"/>
          <w:szCs w:val="21"/>
        </w:rPr>
        <w:t>项≤</w:t>
      </w:r>
      <w:r>
        <w:rPr>
          <w:rFonts w:hint="eastAsia" w:ascii="仿宋" w:hAnsi="仿宋" w:eastAsia="仿宋" w:cs="宋体"/>
          <w:color w:val="auto"/>
          <w:kern w:val="0"/>
          <w:szCs w:val="21"/>
          <w:lang w:val="en-US" w:eastAsia="zh-CN"/>
        </w:rPr>
        <w:t>6</w:t>
      </w:r>
      <w:r>
        <w:rPr>
          <w:rFonts w:hint="eastAsia" w:ascii="仿宋" w:hAnsi="仿宋" w:eastAsia="仿宋" w:cs="宋体"/>
          <w:color w:val="auto"/>
          <w:kern w:val="0"/>
          <w:szCs w:val="21"/>
        </w:rPr>
        <w:t>分不得参评学业奖学金；综合评定分≤1</w:t>
      </w:r>
      <w:r>
        <w:rPr>
          <w:rFonts w:ascii="仿宋" w:hAnsi="仿宋" w:eastAsia="仿宋" w:cs="宋体"/>
          <w:color w:val="auto"/>
          <w:kern w:val="0"/>
          <w:szCs w:val="21"/>
        </w:rPr>
        <w:t>0分不得参评二等及以上学业奖学金</w:t>
      </w:r>
      <w:r>
        <w:rPr>
          <w:rFonts w:hint="eastAsia" w:ascii="仿宋" w:hAnsi="仿宋" w:eastAsia="仿宋" w:cs="宋体"/>
          <w:color w:val="auto"/>
          <w:kern w:val="0"/>
          <w:szCs w:val="21"/>
        </w:rPr>
        <w:t>，综合评定分≤2</w:t>
      </w:r>
      <w:r>
        <w:rPr>
          <w:rFonts w:ascii="仿宋" w:hAnsi="仿宋" w:eastAsia="仿宋" w:cs="宋体"/>
          <w:color w:val="auto"/>
          <w:kern w:val="0"/>
          <w:szCs w:val="21"/>
        </w:rPr>
        <w:t>0分不得参评一等学业奖学金</w:t>
      </w:r>
      <w:r>
        <w:rPr>
          <w:rFonts w:hint="eastAsia" w:ascii="仿宋" w:hAnsi="仿宋" w:eastAsia="仿宋" w:cs="宋体"/>
          <w:color w:val="auto"/>
          <w:kern w:val="0"/>
          <w:szCs w:val="21"/>
          <w:lang w:eastAsia="zh-CN"/>
        </w:rPr>
        <w:t>。</w:t>
      </w:r>
      <w:r>
        <w:rPr>
          <w:rFonts w:hint="eastAsia" w:eastAsia="仿宋_GB2312"/>
          <w:color w:val="auto"/>
          <w:sz w:val="21"/>
          <w:szCs w:val="21"/>
          <w:lang w:val="en-US" w:eastAsia="zh-CN"/>
        </w:rPr>
        <w:t>综合评定分排名低于所有高年级（二、三年级）评定人数的前10%不得参评国家奖学金。</w:t>
      </w:r>
    </w:p>
    <w:p>
      <w:pPr>
        <w:widowControl/>
        <w:spacing w:line="360" w:lineRule="exact"/>
        <w:rPr>
          <w:rFonts w:hint="eastAsia" w:ascii="仿宋" w:hAnsi="仿宋" w:eastAsia="仿宋" w:cs="宋体"/>
          <w:color w:val="auto"/>
          <w:kern w:val="0"/>
          <w:szCs w:val="21"/>
        </w:rPr>
      </w:pPr>
      <w:r>
        <w:rPr>
          <w:rFonts w:hint="eastAsia" w:ascii="仿宋" w:hAnsi="仿宋" w:eastAsia="仿宋" w:cs="宋体"/>
          <w:color w:val="auto"/>
          <w:kern w:val="0"/>
          <w:szCs w:val="21"/>
        </w:rPr>
        <w:t>（6）本细则由党委研究生工作部、研究生院</w:t>
      </w:r>
      <w:r>
        <w:rPr>
          <w:rFonts w:hint="eastAsia" w:eastAsia="仿宋_GB2312"/>
          <w:color w:val="auto"/>
          <w:sz w:val="21"/>
          <w:szCs w:val="21"/>
        </w:rPr>
        <w:t>和</w:t>
      </w:r>
      <w:r>
        <w:rPr>
          <w:rFonts w:hint="eastAsia" w:eastAsia="仿宋_GB2312"/>
          <w:color w:val="auto"/>
          <w:sz w:val="21"/>
          <w:szCs w:val="21"/>
          <w:lang w:val="en-US" w:eastAsia="zh-CN"/>
        </w:rPr>
        <w:t>学院</w:t>
      </w:r>
      <w:r>
        <w:rPr>
          <w:rFonts w:hint="eastAsia" w:eastAsia="仿宋_GB2312"/>
          <w:color w:val="auto"/>
          <w:sz w:val="21"/>
          <w:szCs w:val="21"/>
        </w:rPr>
        <w:t>研究生奖（助）学金及校内评优表彰评审委员会</w:t>
      </w:r>
      <w:bookmarkStart w:id="0" w:name="_GoBack"/>
      <w:bookmarkEnd w:id="0"/>
      <w:r>
        <w:rPr>
          <w:rFonts w:hint="eastAsia" w:ascii="仿宋" w:hAnsi="仿宋" w:eastAsia="仿宋" w:cs="宋体"/>
          <w:color w:val="auto"/>
          <w:kern w:val="0"/>
          <w:szCs w:val="21"/>
        </w:rPr>
        <w:t>负责解释。本细则自公布之日起执行。</w:t>
      </w:r>
    </w:p>
    <w:sectPr>
      <w:headerReference r:id="rId3" w:type="default"/>
      <w:footerReference r:id="rId4" w:type="default"/>
      <w:footerReference r:id="rId5" w:type="even"/>
      <w:pgSz w:w="16838" w:h="11906" w:orient="landscape"/>
      <w:pgMar w:top="1134" w:right="1134" w:bottom="1134" w:left="1134" w:header="851" w:footer="147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- 7 -</w:t>
    </w:r>
    <w:r>
      <w:fldChar w:fldCharType="end"/>
    </w:r>
  </w:p>
  <w:p>
    <w:pPr>
      <w:pStyle w:val="4"/>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- 6 -</w:t>
    </w:r>
    <w:r>
      <w:fldChar w:fldCharType="end"/>
    </w:r>
  </w:p>
  <w:p>
    <w:pPr>
      <w:pStyle w:val="4"/>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23"/>
    <w:rsid w:val="00011920"/>
    <w:rsid w:val="00011B4F"/>
    <w:rsid w:val="00017C4C"/>
    <w:rsid w:val="000241F7"/>
    <w:rsid w:val="00030986"/>
    <w:rsid w:val="00043573"/>
    <w:rsid w:val="00045DED"/>
    <w:rsid w:val="00056200"/>
    <w:rsid w:val="00065115"/>
    <w:rsid w:val="00075344"/>
    <w:rsid w:val="00080D98"/>
    <w:rsid w:val="000B5428"/>
    <w:rsid w:val="000C09BF"/>
    <w:rsid w:val="000D3089"/>
    <w:rsid w:val="000F2896"/>
    <w:rsid w:val="001143B6"/>
    <w:rsid w:val="001418DD"/>
    <w:rsid w:val="00175EC9"/>
    <w:rsid w:val="00197B65"/>
    <w:rsid w:val="001C73DA"/>
    <w:rsid w:val="001E2AD8"/>
    <w:rsid w:val="0021743A"/>
    <w:rsid w:val="00252EAB"/>
    <w:rsid w:val="00257C00"/>
    <w:rsid w:val="00261CA0"/>
    <w:rsid w:val="00294268"/>
    <w:rsid w:val="002B1F2C"/>
    <w:rsid w:val="002B6EE6"/>
    <w:rsid w:val="002D5C0F"/>
    <w:rsid w:val="002D69F0"/>
    <w:rsid w:val="002F35A9"/>
    <w:rsid w:val="00315AB4"/>
    <w:rsid w:val="00323D8A"/>
    <w:rsid w:val="00340F26"/>
    <w:rsid w:val="00352072"/>
    <w:rsid w:val="00377817"/>
    <w:rsid w:val="00377EC4"/>
    <w:rsid w:val="00386FAC"/>
    <w:rsid w:val="003D6A68"/>
    <w:rsid w:val="003F5A44"/>
    <w:rsid w:val="004000A8"/>
    <w:rsid w:val="00407A91"/>
    <w:rsid w:val="00415039"/>
    <w:rsid w:val="00425B82"/>
    <w:rsid w:val="00443F9B"/>
    <w:rsid w:val="004514C2"/>
    <w:rsid w:val="004564E6"/>
    <w:rsid w:val="00463A0D"/>
    <w:rsid w:val="00486B30"/>
    <w:rsid w:val="004917A0"/>
    <w:rsid w:val="004B6222"/>
    <w:rsid w:val="004C3D14"/>
    <w:rsid w:val="004D587D"/>
    <w:rsid w:val="004E7B48"/>
    <w:rsid w:val="004E7F60"/>
    <w:rsid w:val="004F5341"/>
    <w:rsid w:val="004F79BE"/>
    <w:rsid w:val="005113BA"/>
    <w:rsid w:val="00520C6D"/>
    <w:rsid w:val="00525BE9"/>
    <w:rsid w:val="0055121D"/>
    <w:rsid w:val="0056249A"/>
    <w:rsid w:val="00566CEE"/>
    <w:rsid w:val="0057018C"/>
    <w:rsid w:val="00574FF4"/>
    <w:rsid w:val="005924FE"/>
    <w:rsid w:val="005A71F5"/>
    <w:rsid w:val="005C472B"/>
    <w:rsid w:val="005D7B1C"/>
    <w:rsid w:val="005E5342"/>
    <w:rsid w:val="005F4B04"/>
    <w:rsid w:val="00602EAF"/>
    <w:rsid w:val="006203B1"/>
    <w:rsid w:val="00624774"/>
    <w:rsid w:val="00635FB4"/>
    <w:rsid w:val="00636046"/>
    <w:rsid w:val="00636DF7"/>
    <w:rsid w:val="0065629B"/>
    <w:rsid w:val="00657474"/>
    <w:rsid w:val="006637CB"/>
    <w:rsid w:val="00664550"/>
    <w:rsid w:val="006748AF"/>
    <w:rsid w:val="006754E9"/>
    <w:rsid w:val="0068203B"/>
    <w:rsid w:val="006923B2"/>
    <w:rsid w:val="00694FB1"/>
    <w:rsid w:val="0069515F"/>
    <w:rsid w:val="006A2C2E"/>
    <w:rsid w:val="006A5A23"/>
    <w:rsid w:val="006A6AA3"/>
    <w:rsid w:val="006B2385"/>
    <w:rsid w:val="006C1AF3"/>
    <w:rsid w:val="006D59CD"/>
    <w:rsid w:val="00761511"/>
    <w:rsid w:val="00775B2B"/>
    <w:rsid w:val="00776896"/>
    <w:rsid w:val="007844D7"/>
    <w:rsid w:val="007A62BA"/>
    <w:rsid w:val="007A6700"/>
    <w:rsid w:val="007A7DD9"/>
    <w:rsid w:val="007B0908"/>
    <w:rsid w:val="007C2841"/>
    <w:rsid w:val="007D2238"/>
    <w:rsid w:val="00831511"/>
    <w:rsid w:val="008320C1"/>
    <w:rsid w:val="00844331"/>
    <w:rsid w:val="00882C8C"/>
    <w:rsid w:val="00885C93"/>
    <w:rsid w:val="0088756B"/>
    <w:rsid w:val="00894F89"/>
    <w:rsid w:val="00897FB4"/>
    <w:rsid w:val="008A66C3"/>
    <w:rsid w:val="008B4F21"/>
    <w:rsid w:val="008E0C4A"/>
    <w:rsid w:val="008F53BC"/>
    <w:rsid w:val="009332E7"/>
    <w:rsid w:val="00994180"/>
    <w:rsid w:val="009A4304"/>
    <w:rsid w:val="009A4914"/>
    <w:rsid w:val="009C73AB"/>
    <w:rsid w:val="00A00829"/>
    <w:rsid w:val="00A2098D"/>
    <w:rsid w:val="00A23205"/>
    <w:rsid w:val="00A41100"/>
    <w:rsid w:val="00A41A12"/>
    <w:rsid w:val="00A544F3"/>
    <w:rsid w:val="00A93D5B"/>
    <w:rsid w:val="00AF78B7"/>
    <w:rsid w:val="00B04FE4"/>
    <w:rsid w:val="00B12273"/>
    <w:rsid w:val="00B1693A"/>
    <w:rsid w:val="00B205BC"/>
    <w:rsid w:val="00B31F66"/>
    <w:rsid w:val="00B500B8"/>
    <w:rsid w:val="00B55CDC"/>
    <w:rsid w:val="00B56AB9"/>
    <w:rsid w:val="00B56EAB"/>
    <w:rsid w:val="00B9057E"/>
    <w:rsid w:val="00BB3A7A"/>
    <w:rsid w:val="00BB3AE2"/>
    <w:rsid w:val="00BC4489"/>
    <w:rsid w:val="00BC45AE"/>
    <w:rsid w:val="00BD6F1E"/>
    <w:rsid w:val="00BD7BE2"/>
    <w:rsid w:val="00BF1736"/>
    <w:rsid w:val="00C12C6A"/>
    <w:rsid w:val="00C147BD"/>
    <w:rsid w:val="00C34A59"/>
    <w:rsid w:val="00C455A3"/>
    <w:rsid w:val="00C55D8A"/>
    <w:rsid w:val="00C83C30"/>
    <w:rsid w:val="00C90DC5"/>
    <w:rsid w:val="00C964DE"/>
    <w:rsid w:val="00CB26C0"/>
    <w:rsid w:val="00CB793B"/>
    <w:rsid w:val="00CD35CD"/>
    <w:rsid w:val="00CD40EC"/>
    <w:rsid w:val="00CD4CD1"/>
    <w:rsid w:val="00CE58DA"/>
    <w:rsid w:val="00CF7074"/>
    <w:rsid w:val="00D04E41"/>
    <w:rsid w:val="00D15027"/>
    <w:rsid w:val="00D26197"/>
    <w:rsid w:val="00D261A7"/>
    <w:rsid w:val="00D555BB"/>
    <w:rsid w:val="00D85240"/>
    <w:rsid w:val="00D90658"/>
    <w:rsid w:val="00D92317"/>
    <w:rsid w:val="00D9242A"/>
    <w:rsid w:val="00DA3D28"/>
    <w:rsid w:val="00DC39EA"/>
    <w:rsid w:val="00DC7F37"/>
    <w:rsid w:val="00DE4496"/>
    <w:rsid w:val="00DF5A93"/>
    <w:rsid w:val="00DF79BD"/>
    <w:rsid w:val="00E03E23"/>
    <w:rsid w:val="00E0750C"/>
    <w:rsid w:val="00E11C70"/>
    <w:rsid w:val="00E2523F"/>
    <w:rsid w:val="00E25820"/>
    <w:rsid w:val="00E26E35"/>
    <w:rsid w:val="00E61674"/>
    <w:rsid w:val="00E71239"/>
    <w:rsid w:val="00E73EED"/>
    <w:rsid w:val="00E74D05"/>
    <w:rsid w:val="00E80C37"/>
    <w:rsid w:val="00E8529C"/>
    <w:rsid w:val="00E86668"/>
    <w:rsid w:val="00E86AC2"/>
    <w:rsid w:val="00EA4E8A"/>
    <w:rsid w:val="00EA5295"/>
    <w:rsid w:val="00EF4041"/>
    <w:rsid w:val="00F04B4C"/>
    <w:rsid w:val="00F07708"/>
    <w:rsid w:val="00F36AE0"/>
    <w:rsid w:val="00F44BD2"/>
    <w:rsid w:val="00F55F3D"/>
    <w:rsid w:val="00F56B16"/>
    <w:rsid w:val="00F60E78"/>
    <w:rsid w:val="00F713E9"/>
    <w:rsid w:val="00F8539D"/>
    <w:rsid w:val="00F87C5B"/>
    <w:rsid w:val="00F906D3"/>
    <w:rsid w:val="00FC5E3B"/>
    <w:rsid w:val="00FE024F"/>
    <w:rsid w:val="00FF6DD3"/>
    <w:rsid w:val="08CA4303"/>
    <w:rsid w:val="0D137BC0"/>
    <w:rsid w:val="0D2952BB"/>
    <w:rsid w:val="101E5552"/>
    <w:rsid w:val="1234473B"/>
    <w:rsid w:val="16553671"/>
    <w:rsid w:val="19592225"/>
    <w:rsid w:val="1A266569"/>
    <w:rsid w:val="1C167B62"/>
    <w:rsid w:val="22403104"/>
    <w:rsid w:val="28F47A37"/>
    <w:rsid w:val="32587EE3"/>
    <w:rsid w:val="379C484F"/>
    <w:rsid w:val="37E3735E"/>
    <w:rsid w:val="3AE7205D"/>
    <w:rsid w:val="3B6A7039"/>
    <w:rsid w:val="3B8469B5"/>
    <w:rsid w:val="3C71595A"/>
    <w:rsid w:val="404E089D"/>
    <w:rsid w:val="48760C9F"/>
    <w:rsid w:val="50D10B66"/>
    <w:rsid w:val="50D3241A"/>
    <w:rsid w:val="52CF58F6"/>
    <w:rsid w:val="55FB54BB"/>
    <w:rsid w:val="5EA93D48"/>
    <w:rsid w:val="5F863313"/>
    <w:rsid w:val="6B3663EB"/>
    <w:rsid w:val="6B5D1BFF"/>
    <w:rsid w:val="6DFC05DE"/>
    <w:rsid w:val="6E59544C"/>
    <w:rsid w:val="751A5934"/>
    <w:rsid w:val="763C5F1A"/>
    <w:rsid w:val="77404C6E"/>
    <w:rsid w:val="792444CD"/>
    <w:rsid w:val="7B59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footer"/>
    <w:basedOn w:val="1"/>
    <w:link w:val="13"/>
    <w:unhideWhenUsed/>
    <w:qFormat/>
    <w:uiPriority w:val="0"/>
    <w:pPr>
      <w:tabs>
        <w:tab w:val="center" w:pos="4153"/>
        <w:tab w:val="right" w:pos="8306"/>
      </w:tabs>
      <w:snapToGrid w:val="0"/>
      <w:jc w:val="left"/>
    </w:pPr>
    <w:rPr>
      <w:rFonts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eastAsiaTheme="minorEastAsia" w:cstheme="minorBidi"/>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emtidy-1"/>
    <w:basedOn w:val="9"/>
    <w:qFormat/>
    <w:uiPriority w:val="0"/>
  </w:style>
  <w:style w:type="character" w:customStyle="1" w:styleId="13">
    <w:name w:val="页脚 字符"/>
    <w:link w:val="4"/>
    <w:qFormat/>
    <w:uiPriority w:val="0"/>
    <w:rPr>
      <w:rFonts w:ascii="Times New Roman" w:hAnsi="Times New Roman"/>
      <w:sz w:val="18"/>
      <w:szCs w:val="18"/>
    </w:rPr>
  </w:style>
  <w:style w:type="character" w:customStyle="1" w:styleId="14">
    <w:name w:val="页眉 字符"/>
    <w:link w:val="5"/>
    <w:qFormat/>
    <w:uiPriority w:val="99"/>
    <w:rPr>
      <w:rFonts w:ascii="Times New Roman" w:hAnsi="Times New Roman"/>
      <w:sz w:val="18"/>
      <w:szCs w:val="18"/>
    </w:rPr>
  </w:style>
  <w:style w:type="character" w:customStyle="1" w:styleId="15">
    <w:name w:val="页眉 字符1"/>
    <w:basedOn w:val="9"/>
    <w:semiHidden/>
    <w:qFormat/>
    <w:uiPriority w:val="99"/>
    <w:rPr>
      <w:rFonts w:ascii="Times New Roman" w:hAnsi="Times New Roman" w:eastAsia="宋体" w:cs="Times New Roman"/>
      <w:sz w:val="18"/>
      <w:szCs w:val="18"/>
    </w:rPr>
  </w:style>
  <w:style w:type="character" w:customStyle="1" w:styleId="16">
    <w:name w:val="页脚 字符1"/>
    <w:basedOn w:val="9"/>
    <w:semiHidden/>
    <w:qFormat/>
    <w:uiPriority w:val="99"/>
    <w:rPr>
      <w:rFonts w:ascii="Times New Roman" w:hAnsi="Times New Roman" w:eastAsia="宋体" w:cs="Times New Roman"/>
      <w:sz w:val="18"/>
      <w:szCs w:val="18"/>
    </w:rPr>
  </w:style>
  <w:style w:type="character" w:customStyle="1" w:styleId="17">
    <w:name w:val="批注文字 字符"/>
    <w:basedOn w:val="9"/>
    <w:link w:val="2"/>
    <w:semiHidden/>
    <w:qFormat/>
    <w:uiPriority w:val="99"/>
    <w:rPr>
      <w:rFonts w:ascii="Times New Roman" w:hAnsi="Times New Roman" w:eastAsia="宋体" w:cs="Times New Roman"/>
      <w:szCs w:val="24"/>
    </w:rPr>
  </w:style>
  <w:style w:type="character" w:customStyle="1" w:styleId="18">
    <w:name w:val="批注主题 字符"/>
    <w:basedOn w:val="17"/>
    <w:link w:val="6"/>
    <w:semiHidden/>
    <w:qFormat/>
    <w:uiPriority w:val="99"/>
    <w:rPr>
      <w:rFonts w:ascii="Times New Roman" w:hAnsi="Times New Roman" w:eastAsia="宋体" w:cs="Times New Roman"/>
      <w:b/>
      <w:bCs/>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日期 字符"/>
    <w:basedOn w:val="9"/>
    <w:link w:val="3"/>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71A21-1329-4821-BA71-49E8B798E205}">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735</Words>
  <Characters>4194</Characters>
  <Lines>34</Lines>
  <Paragraphs>9</Paragraphs>
  <TotalTime>9</TotalTime>
  <ScaleCrop>false</ScaleCrop>
  <LinksUpToDate>false</LinksUpToDate>
  <CharactersWithSpaces>4920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2021-06-08T02:06:00Z</dcterms:created>
  <dc:creator>sheng king</dc:creator>
  <cp:lastModifiedBy>永不言败424505</cp:lastModifiedBy>
  <cp:lastPrinted>2021-06-08T00:10:00Z</cp:lastPrinted>
  <dcterms:modified xsi:type="dcterms:W3CDTF">2021-10-08T02:40:57Z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D2AB9D8129D242B39CB442E91470D54D</vt:lpwstr>
  </property>
</Properties>
</file>